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drawings/drawing1.xml" ContentType="application/vnd.openxmlformats-officedocument.drawingml.chartshap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1530" w:rsidRDefault="00A31530" w:rsidP="00A31530">
      <w:pPr>
        <w:pStyle w:val="Default"/>
      </w:pPr>
    </w:p>
    <w:p w:rsidR="00A31530" w:rsidRDefault="00A31530" w:rsidP="00A31530">
      <w:pPr>
        <w:pStyle w:val="Default"/>
        <w:jc w:val="center"/>
        <w:rPr>
          <w:b/>
          <w:bCs/>
          <w:sz w:val="28"/>
          <w:szCs w:val="28"/>
        </w:rPr>
      </w:pPr>
      <w:bookmarkStart w:id="0" w:name="_GoBack"/>
      <w:r>
        <w:rPr>
          <w:b/>
          <w:bCs/>
          <w:sz w:val="28"/>
          <w:szCs w:val="28"/>
        </w:rPr>
        <w:t xml:space="preserve">Анализ результатов первого этапа регионального исследования </w:t>
      </w:r>
      <w:proofErr w:type="spellStart"/>
      <w:r>
        <w:rPr>
          <w:b/>
          <w:bCs/>
          <w:sz w:val="28"/>
          <w:szCs w:val="28"/>
        </w:rPr>
        <w:t>сформированности</w:t>
      </w:r>
      <w:proofErr w:type="spellEnd"/>
      <w:r>
        <w:rPr>
          <w:b/>
          <w:bCs/>
          <w:sz w:val="28"/>
          <w:szCs w:val="28"/>
        </w:rPr>
        <w:t xml:space="preserve"> функциональной грамотности обучающихся 8 классов </w:t>
      </w:r>
      <w:r>
        <w:rPr>
          <w:b/>
          <w:bCs/>
          <w:sz w:val="28"/>
          <w:szCs w:val="28"/>
        </w:rPr>
        <w:t xml:space="preserve">в МБОУ СОШ № 4 в 2020-2021 </w:t>
      </w:r>
      <w:proofErr w:type="spellStart"/>
      <w:r>
        <w:rPr>
          <w:b/>
          <w:bCs/>
          <w:sz w:val="28"/>
          <w:szCs w:val="28"/>
        </w:rPr>
        <w:t>уч.г</w:t>
      </w:r>
      <w:bookmarkEnd w:id="0"/>
      <w:proofErr w:type="spellEnd"/>
      <w:r>
        <w:rPr>
          <w:b/>
          <w:bCs/>
          <w:sz w:val="28"/>
          <w:szCs w:val="28"/>
        </w:rPr>
        <w:t>.</w:t>
      </w:r>
    </w:p>
    <w:p w:rsidR="00A31530" w:rsidRDefault="00A31530" w:rsidP="00A31530">
      <w:pPr>
        <w:pStyle w:val="Default"/>
        <w:jc w:val="center"/>
        <w:rPr>
          <w:sz w:val="28"/>
          <w:szCs w:val="28"/>
        </w:rPr>
      </w:pPr>
    </w:p>
    <w:p w:rsidR="00A31530" w:rsidRDefault="00A31530" w:rsidP="00A31530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марте – апреле 2021 года на территории Свердловской области прошел первый этап регионального исследования </w:t>
      </w:r>
      <w:proofErr w:type="spellStart"/>
      <w:r>
        <w:rPr>
          <w:sz w:val="28"/>
          <w:szCs w:val="28"/>
        </w:rPr>
        <w:t>сформированности</w:t>
      </w:r>
      <w:proofErr w:type="spellEnd"/>
      <w:r>
        <w:rPr>
          <w:sz w:val="28"/>
          <w:szCs w:val="28"/>
        </w:rPr>
        <w:t xml:space="preserve"> функциональной грамотности обучающихся. Исследование проводилось ГАОУ ДПО СО «ИРО» на основании приказа Министерства образования и молодежной политики Свердловской области от 15.03.2021 г. № 44-И «О проведении регионального исследования </w:t>
      </w:r>
      <w:proofErr w:type="spellStart"/>
      <w:r>
        <w:rPr>
          <w:sz w:val="28"/>
          <w:szCs w:val="28"/>
        </w:rPr>
        <w:t>сформированности</w:t>
      </w:r>
      <w:proofErr w:type="spellEnd"/>
      <w:r>
        <w:rPr>
          <w:sz w:val="28"/>
          <w:szCs w:val="28"/>
        </w:rPr>
        <w:t xml:space="preserve"> функциональной грамотности обучающихся общеобразовательных организаций Свердловской области в 2021 году» в целях реализации приказа Министерства образования и молодежной политики Свердловской области от 18.12.2018 г. № 615-Д «О региональной системе оценки качества образования Свердловской области» в рамках государственного задания. </w:t>
      </w:r>
    </w:p>
    <w:p w:rsidR="00A31530" w:rsidRDefault="00A31530" w:rsidP="00A31530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Цель исследования: оценка </w:t>
      </w:r>
      <w:proofErr w:type="spellStart"/>
      <w:r>
        <w:rPr>
          <w:sz w:val="28"/>
          <w:szCs w:val="28"/>
        </w:rPr>
        <w:t>сформированности</w:t>
      </w:r>
      <w:proofErr w:type="spellEnd"/>
      <w:r>
        <w:rPr>
          <w:sz w:val="28"/>
          <w:szCs w:val="28"/>
        </w:rPr>
        <w:t xml:space="preserve"> функциональной грамотности обучающихся 4 и 8 классов Свердловской области. </w:t>
      </w:r>
    </w:p>
    <w:p w:rsidR="00A31530" w:rsidRDefault="00A31530" w:rsidP="00A31530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мониторинговом исследовании приняло участие</w:t>
      </w:r>
      <w:r>
        <w:rPr>
          <w:sz w:val="28"/>
          <w:szCs w:val="28"/>
        </w:rPr>
        <w:t xml:space="preserve"> 27</w:t>
      </w:r>
      <w:r>
        <w:rPr>
          <w:sz w:val="28"/>
          <w:szCs w:val="28"/>
        </w:rPr>
        <w:t xml:space="preserve"> обучающихся 8 </w:t>
      </w:r>
      <w:r>
        <w:rPr>
          <w:sz w:val="28"/>
          <w:szCs w:val="28"/>
        </w:rPr>
        <w:t>класса.</w:t>
      </w:r>
      <w:r>
        <w:rPr>
          <w:sz w:val="28"/>
          <w:szCs w:val="28"/>
        </w:rPr>
        <w:t xml:space="preserve"> </w:t>
      </w:r>
    </w:p>
    <w:p w:rsidR="00A31530" w:rsidRDefault="00A31530" w:rsidP="00974D5C">
      <w:pPr>
        <w:pStyle w:val="Default"/>
        <w:ind w:firstLine="708"/>
        <w:jc w:val="both"/>
        <w:rPr>
          <w:sz w:val="28"/>
          <w:szCs w:val="28"/>
        </w:rPr>
      </w:pPr>
      <w:r>
        <w:rPr>
          <w:i/>
          <w:iCs/>
          <w:sz w:val="28"/>
          <w:szCs w:val="28"/>
        </w:rPr>
        <w:t xml:space="preserve">Результаты исследования </w:t>
      </w:r>
      <w:proofErr w:type="spellStart"/>
      <w:r>
        <w:rPr>
          <w:i/>
          <w:iCs/>
          <w:sz w:val="28"/>
          <w:szCs w:val="28"/>
        </w:rPr>
        <w:t>сформированности</w:t>
      </w:r>
      <w:proofErr w:type="spellEnd"/>
      <w:r>
        <w:rPr>
          <w:i/>
          <w:iCs/>
          <w:sz w:val="28"/>
          <w:szCs w:val="28"/>
        </w:rPr>
        <w:t xml:space="preserve"> функциональной грамотности </w:t>
      </w:r>
      <w:r w:rsidR="00974D5C">
        <w:rPr>
          <w:i/>
          <w:iCs/>
          <w:sz w:val="28"/>
          <w:szCs w:val="28"/>
        </w:rPr>
        <w:t>обучающихся</w:t>
      </w:r>
      <w:r>
        <w:rPr>
          <w:i/>
          <w:iCs/>
          <w:sz w:val="28"/>
          <w:szCs w:val="28"/>
        </w:rPr>
        <w:t xml:space="preserve">. </w:t>
      </w:r>
    </w:p>
    <w:p w:rsidR="00A31530" w:rsidRDefault="00A31530" w:rsidP="00974D5C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Согласно цели исследования по результатам диагностической работы определялся уровень </w:t>
      </w:r>
      <w:proofErr w:type="spellStart"/>
      <w:r>
        <w:rPr>
          <w:sz w:val="28"/>
          <w:szCs w:val="28"/>
        </w:rPr>
        <w:t>сформированности</w:t>
      </w:r>
      <w:proofErr w:type="spellEnd"/>
      <w:r>
        <w:rPr>
          <w:sz w:val="28"/>
          <w:szCs w:val="28"/>
        </w:rPr>
        <w:t xml:space="preserve"> функциональной грамотности у обучающихся. </w:t>
      </w:r>
    </w:p>
    <w:p w:rsidR="00A31530" w:rsidRDefault="00A31530" w:rsidP="002606D1">
      <w:pPr>
        <w:pStyle w:val="Default"/>
        <w:jc w:val="right"/>
        <w:rPr>
          <w:sz w:val="28"/>
          <w:szCs w:val="28"/>
        </w:rPr>
      </w:pPr>
      <w:r>
        <w:rPr>
          <w:i/>
          <w:iCs/>
          <w:sz w:val="28"/>
          <w:szCs w:val="28"/>
        </w:rPr>
        <w:t xml:space="preserve">Таблица 1. </w:t>
      </w:r>
    </w:p>
    <w:p w:rsidR="00A31530" w:rsidRDefault="00A31530" w:rsidP="002606D1"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t>Соответствие количества первичных баллов</w:t>
      </w:r>
    </w:p>
    <w:tbl>
      <w:tblPr>
        <w:tblW w:w="0" w:type="auto"/>
        <w:tblInd w:w="-93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426"/>
        <w:gridCol w:w="4426"/>
      </w:tblGrid>
      <w:tr w:rsidR="002606D1" w:rsidTr="00C15599">
        <w:tblPrEx>
          <w:tblCellMar>
            <w:top w:w="0" w:type="dxa"/>
            <w:bottom w:w="0" w:type="dxa"/>
          </w:tblCellMar>
        </w:tblPrEx>
        <w:trPr>
          <w:trHeight w:val="127"/>
        </w:trPr>
        <w:tc>
          <w:tcPr>
            <w:tcW w:w="8852" w:type="dxa"/>
            <w:gridSpan w:val="2"/>
            <w:tcBorders>
              <w:bottom w:val="single" w:sz="4" w:space="0" w:color="auto"/>
            </w:tcBorders>
          </w:tcPr>
          <w:p w:rsidR="002606D1" w:rsidRDefault="002606D1" w:rsidP="002606D1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уровням функциональной грамотности</w:t>
            </w:r>
          </w:p>
        </w:tc>
      </w:tr>
      <w:tr w:rsidR="00C15599" w:rsidTr="00C15599">
        <w:tblPrEx>
          <w:tblCellMar>
            <w:top w:w="0" w:type="dxa"/>
            <w:bottom w:w="0" w:type="dxa"/>
          </w:tblCellMar>
        </w:tblPrEx>
        <w:trPr>
          <w:trHeight w:val="127"/>
        </w:trPr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599" w:rsidRDefault="00C15599" w:rsidP="00C15599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Уровень функциональной грамотности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599" w:rsidRDefault="00C15599" w:rsidP="00C15599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 первичных баллов</w:t>
            </w:r>
          </w:p>
        </w:tc>
      </w:tr>
      <w:tr w:rsidR="00C15599" w:rsidTr="00C15599">
        <w:tblPrEx>
          <w:tblCellMar>
            <w:top w:w="0" w:type="dxa"/>
            <w:bottom w:w="0" w:type="dxa"/>
          </w:tblCellMar>
        </w:tblPrEx>
        <w:trPr>
          <w:trHeight w:val="127"/>
        </w:trPr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599" w:rsidRDefault="00C15599" w:rsidP="00C15599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Недостаточный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599" w:rsidRDefault="00C15599" w:rsidP="00C15599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 – 7 баллов</w:t>
            </w:r>
          </w:p>
        </w:tc>
      </w:tr>
      <w:tr w:rsidR="00C15599" w:rsidTr="00C15599">
        <w:tblPrEx>
          <w:tblCellMar>
            <w:top w:w="0" w:type="dxa"/>
            <w:bottom w:w="0" w:type="dxa"/>
          </w:tblCellMar>
        </w:tblPrEx>
        <w:trPr>
          <w:trHeight w:val="127"/>
        </w:trPr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599" w:rsidRDefault="00C15599" w:rsidP="00C15599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Низкий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599" w:rsidRDefault="00C15599" w:rsidP="00C15599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 – 13 баллов</w:t>
            </w:r>
          </w:p>
        </w:tc>
      </w:tr>
      <w:tr w:rsidR="00C15599" w:rsidTr="00C15599">
        <w:tblPrEx>
          <w:tblCellMar>
            <w:top w:w="0" w:type="dxa"/>
            <w:bottom w:w="0" w:type="dxa"/>
          </w:tblCellMar>
        </w:tblPrEx>
        <w:trPr>
          <w:trHeight w:val="127"/>
        </w:trPr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599" w:rsidRDefault="00C15599" w:rsidP="00C15599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Средний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599" w:rsidRDefault="00C15599" w:rsidP="00C15599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 – 21 балл</w:t>
            </w:r>
          </w:p>
        </w:tc>
      </w:tr>
      <w:tr w:rsidR="00C15599" w:rsidTr="00C15599">
        <w:tblPrEx>
          <w:tblCellMar>
            <w:top w:w="0" w:type="dxa"/>
            <w:bottom w:w="0" w:type="dxa"/>
          </w:tblCellMar>
        </w:tblPrEx>
        <w:trPr>
          <w:trHeight w:val="127"/>
        </w:trPr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599" w:rsidRDefault="00C15599" w:rsidP="00C15599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Повышенный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599" w:rsidRDefault="00C15599" w:rsidP="00C15599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 – 31 балл</w:t>
            </w:r>
          </w:p>
        </w:tc>
      </w:tr>
    </w:tbl>
    <w:p w:rsidR="00B16034" w:rsidRDefault="00B16034" w:rsidP="00B16034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Liberation Serif"/>
          <w:color w:val="000000"/>
          <w:sz w:val="28"/>
          <w:szCs w:val="28"/>
        </w:rPr>
      </w:pPr>
    </w:p>
    <w:p w:rsidR="002606D1" w:rsidRPr="002606D1" w:rsidRDefault="004C236E" w:rsidP="00B16034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Liberation Serif"/>
          <w:color w:val="000000"/>
          <w:sz w:val="28"/>
          <w:szCs w:val="28"/>
        </w:rPr>
      </w:pPr>
      <w:r>
        <w:rPr>
          <w:rFonts w:ascii="Liberation Serif" w:hAnsi="Liberation Serif" w:cs="Liberation Serif"/>
          <w:noProof/>
          <w:color w:val="000000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F4B6410" wp14:editId="5A4A833E">
                <wp:simplePos x="0" y="0"/>
                <wp:positionH relativeFrom="column">
                  <wp:posOffset>-99060</wp:posOffset>
                </wp:positionH>
                <wp:positionV relativeFrom="paragraph">
                  <wp:posOffset>1136650</wp:posOffset>
                </wp:positionV>
                <wp:extent cx="161925" cy="76200"/>
                <wp:effectExtent l="0" t="0" r="28575" b="1905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762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>
                            <a:shade val="50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938D41E" id="Прямоугольник 1" o:spid="_x0000_s1026" style="position:absolute;margin-left:-7.8pt;margin-top:89.5pt;width:12.75pt;height: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" fillcolor="#70ad47 [3209]" strokecolor="#375623 [1609]" strokeweight="1pt"/>
            </w:pict>
          </mc:Fallback>
        </mc:AlternateContent>
      </w:r>
      <w:r w:rsidR="002606D1" w:rsidRPr="002606D1">
        <w:rPr>
          <w:rFonts w:ascii="Liberation Serif" w:hAnsi="Liberation Serif" w:cs="Liberation Serif"/>
          <w:color w:val="000000"/>
          <w:sz w:val="28"/>
          <w:szCs w:val="28"/>
        </w:rPr>
        <w:t>Успешность выполнения работ по направлениям функциональной грамотности</w:t>
      </w:r>
    </w:p>
    <w:tbl>
      <w:tblPr>
        <w:tblW w:w="0" w:type="auto"/>
        <w:tblInd w:w="-1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77"/>
        <w:gridCol w:w="1477"/>
        <w:gridCol w:w="1477"/>
        <w:gridCol w:w="1477"/>
        <w:gridCol w:w="1477"/>
        <w:gridCol w:w="1482"/>
        <w:gridCol w:w="318"/>
      </w:tblGrid>
      <w:tr w:rsidR="00B16034" w:rsidRPr="002606D1" w:rsidTr="004C236E">
        <w:tblPrEx>
          <w:tblCellMar>
            <w:top w:w="0" w:type="dxa"/>
            <w:bottom w:w="0" w:type="dxa"/>
          </w:tblCellMar>
        </w:tblPrEx>
        <w:trPr>
          <w:gridAfter w:val="1"/>
          <w:wAfter w:w="318" w:type="dxa"/>
          <w:trHeight w:val="208"/>
        </w:trPr>
        <w:tc>
          <w:tcPr>
            <w:tcW w:w="8867" w:type="dxa"/>
            <w:gridSpan w:val="6"/>
          </w:tcPr>
          <w:p w:rsidR="00B16034" w:rsidRPr="002606D1" w:rsidRDefault="00B16034" w:rsidP="00B160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2606D1">
              <w:rPr>
                <w:rFonts w:ascii="Liberation Serif" w:hAnsi="Liberation Serif" w:cs="Liberation Serif"/>
                <w:b/>
                <w:bCs/>
                <w:color w:val="000000"/>
                <w:sz w:val="28"/>
                <w:szCs w:val="28"/>
              </w:rPr>
              <w:t xml:space="preserve">% выполнения задания </w:t>
            </w:r>
            <w:r w:rsidRPr="00B16034">
              <w:rPr>
                <w:rFonts w:ascii="Liberation Serif" w:hAnsi="Liberation Serif" w:cs="Liberation Serif"/>
                <w:b/>
                <w:color w:val="000000"/>
                <w:sz w:val="28"/>
                <w:szCs w:val="28"/>
              </w:rPr>
              <w:t>8 класс</w:t>
            </w:r>
          </w:p>
        </w:tc>
      </w:tr>
      <w:tr w:rsidR="002606D1" w:rsidRPr="002606D1" w:rsidTr="004C236E">
        <w:tblPrEx>
          <w:tblCellMar>
            <w:top w:w="0" w:type="dxa"/>
            <w:bottom w:w="0" w:type="dxa"/>
          </w:tblCellMar>
        </w:tblPrEx>
        <w:trPr>
          <w:gridAfter w:val="1"/>
          <w:wAfter w:w="318" w:type="dxa"/>
          <w:trHeight w:val="125"/>
        </w:trPr>
        <w:tc>
          <w:tcPr>
            <w:tcW w:w="1477" w:type="dxa"/>
          </w:tcPr>
          <w:p w:rsidR="002606D1" w:rsidRPr="002606D1" w:rsidRDefault="002606D1" w:rsidP="002606D1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2606D1">
              <w:rPr>
                <w:rFonts w:ascii="Liberation Serif" w:hAnsi="Liberation Serif" w:cs="Liberation Serif"/>
                <w:b/>
                <w:bCs/>
                <w:color w:val="000000"/>
                <w:sz w:val="28"/>
                <w:szCs w:val="28"/>
              </w:rPr>
              <w:t xml:space="preserve">ЧГ </w:t>
            </w:r>
          </w:p>
        </w:tc>
        <w:tc>
          <w:tcPr>
            <w:tcW w:w="1477" w:type="dxa"/>
          </w:tcPr>
          <w:p w:rsidR="002606D1" w:rsidRPr="002606D1" w:rsidRDefault="002606D1" w:rsidP="002606D1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2606D1">
              <w:rPr>
                <w:rFonts w:ascii="Liberation Serif" w:hAnsi="Liberation Serif" w:cs="Liberation Serif"/>
                <w:b/>
                <w:bCs/>
                <w:color w:val="000000"/>
                <w:sz w:val="28"/>
                <w:szCs w:val="28"/>
              </w:rPr>
              <w:t xml:space="preserve">МГ </w:t>
            </w:r>
          </w:p>
        </w:tc>
        <w:tc>
          <w:tcPr>
            <w:tcW w:w="1477" w:type="dxa"/>
          </w:tcPr>
          <w:p w:rsidR="002606D1" w:rsidRPr="002606D1" w:rsidRDefault="002606D1" w:rsidP="002606D1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2606D1">
              <w:rPr>
                <w:rFonts w:ascii="Liberation Serif" w:hAnsi="Liberation Serif" w:cs="Liberation Serif"/>
                <w:b/>
                <w:bCs/>
                <w:color w:val="000000"/>
                <w:sz w:val="28"/>
                <w:szCs w:val="28"/>
              </w:rPr>
              <w:t xml:space="preserve">ЕГ </w:t>
            </w:r>
          </w:p>
        </w:tc>
        <w:tc>
          <w:tcPr>
            <w:tcW w:w="1477" w:type="dxa"/>
          </w:tcPr>
          <w:p w:rsidR="002606D1" w:rsidRPr="002606D1" w:rsidRDefault="002606D1" w:rsidP="002606D1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2606D1">
              <w:rPr>
                <w:rFonts w:ascii="Liberation Serif" w:hAnsi="Liberation Serif" w:cs="Liberation Serif"/>
                <w:b/>
                <w:bCs/>
                <w:color w:val="000000"/>
                <w:sz w:val="28"/>
                <w:szCs w:val="28"/>
              </w:rPr>
              <w:t xml:space="preserve">КМ </w:t>
            </w:r>
          </w:p>
        </w:tc>
        <w:tc>
          <w:tcPr>
            <w:tcW w:w="1477" w:type="dxa"/>
          </w:tcPr>
          <w:p w:rsidR="002606D1" w:rsidRPr="002606D1" w:rsidRDefault="002606D1" w:rsidP="002606D1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2606D1">
              <w:rPr>
                <w:rFonts w:ascii="Liberation Serif" w:hAnsi="Liberation Serif" w:cs="Liberation Serif"/>
                <w:b/>
                <w:bCs/>
                <w:color w:val="000000"/>
                <w:sz w:val="28"/>
                <w:szCs w:val="28"/>
              </w:rPr>
              <w:t xml:space="preserve">ГК </w:t>
            </w:r>
          </w:p>
        </w:tc>
        <w:tc>
          <w:tcPr>
            <w:tcW w:w="1482" w:type="dxa"/>
          </w:tcPr>
          <w:p w:rsidR="002606D1" w:rsidRPr="002606D1" w:rsidRDefault="002606D1" w:rsidP="002606D1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2606D1">
              <w:rPr>
                <w:rFonts w:ascii="Liberation Serif" w:hAnsi="Liberation Serif" w:cs="Liberation Serif"/>
                <w:b/>
                <w:bCs/>
                <w:color w:val="000000"/>
                <w:sz w:val="28"/>
                <w:szCs w:val="28"/>
              </w:rPr>
              <w:t xml:space="preserve">ФГ </w:t>
            </w:r>
          </w:p>
        </w:tc>
      </w:tr>
      <w:tr w:rsidR="00B16034" w:rsidRPr="002606D1" w:rsidTr="004C236E">
        <w:tblPrEx>
          <w:tblCellMar>
            <w:top w:w="0" w:type="dxa"/>
            <w:bottom w:w="0" w:type="dxa"/>
          </w:tblCellMar>
        </w:tblPrEx>
        <w:trPr>
          <w:gridAfter w:val="1"/>
          <w:wAfter w:w="318" w:type="dxa"/>
          <w:trHeight w:val="125"/>
        </w:trPr>
        <w:tc>
          <w:tcPr>
            <w:tcW w:w="1477" w:type="dxa"/>
            <w:shd w:val="clear" w:color="auto" w:fill="FFFF00"/>
          </w:tcPr>
          <w:p w:rsidR="00B16034" w:rsidRPr="002606D1" w:rsidRDefault="00B16034" w:rsidP="00B16034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2606D1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43 </w:t>
            </w:r>
          </w:p>
        </w:tc>
        <w:tc>
          <w:tcPr>
            <w:tcW w:w="1477" w:type="dxa"/>
            <w:shd w:val="clear" w:color="auto" w:fill="FFFF00"/>
          </w:tcPr>
          <w:p w:rsidR="00B16034" w:rsidRPr="002606D1" w:rsidRDefault="00B16034" w:rsidP="00B16034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2606D1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21 </w:t>
            </w:r>
          </w:p>
        </w:tc>
        <w:tc>
          <w:tcPr>
            <w:tcW w:w="1477" w:type="dxa"/>
            <w:shd w:val="clear" w:color="auto" w:fill="92D050"/>
          </w:tcPr>
          <w:p w:rsidR="00B16034" w:rsidRPr="002606D1" w:rsidRDefault="00B16034" w:rsidP="00B16034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2606D1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36 </w:t>
            </w:r>
          </w:p>
        </w:tc>
        <w:tc>
          <w:tcPr>
            <w:tcW w:w="1477" w:type="dxa"/>
            <w:shd w:val="clear" w:color="auto" w:fill="92D050"/>
          </w:tcPr>
          <w:p w:rsidR="00B16034" w:rsidRPr="002606D1" w:rsidRDefault="00B16034" w:rsidP="00B16034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2606D1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25 </w:t>
            </w:r>
          </w:p>
        </w:tc>
        <w:tc>
          <w:tcPr>
            <w:tcW w:w="1477" w:type="dxa"/>
          </w:tcPr>
          <w:p w:rsidR="00B16034" w:rsidRPr="002606D1" w:rsidRDefault="00B16034" w:rsidP="00B16034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2606D1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- </w:t>
            </w:r>
          </w:p>
        </w:tc>
        <w:tc>
          <w:tcPr>
            <w:tcW w:w="1482" w:type="dxa"/>
            <w:shd w:val="clear" w:color="auto" w:fill="F4B083" w:themeFill="accent2" w:themeFillTint="99"/>
          </w:tcPr>
          <w:p w:rsidR="00B16034" w:rsidRPr="002606D1" w:rsidRDefault="00B16034" w:rsidP="00B16034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2606D1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44 </w:t>
            </w:r>
          </w:p>
        </w:tc>
      </w:tr>
      <w:tr w:rsidR="004C236E" w:rsidRPr="004C236E" w:rsidTr="004C236E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9185" w:type="dxa"/>
            <w:gridSpan w:val="7"/>
          </w:tcPr>
          <w:p w:rsidR="004C236E" w:rsidRPr="004C236E" w:rsidRDefault="004C236E" w:rsidP="004C236E">
            <w:pPr>
              <w:autoSpaceDE w:val="0"/>
              <w:autoSpaceDN w:val="0"/>
              <w:adjustRightInd w:val="0"/>
              <w:spacing w:after="0" w:line="240" w:lineRule="auto"/>
              <w:ind w:right="-113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4C236E">
              <w:rPr>
                <w:rFonts w:ascii="Liberation Serif" w:hAnsi="Liberation Serif" w:cs="Liberation Serif"/>
                <w:color w:val="92D050"/>
                <w:sz w:val="28"/>
                <w:szCs w:val="28"/>
              </w:rPr>
              <w:t xml:space="preserve">- </w:t>
            </w:r>
            <w:r w:rsidRPr="004C236E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средний результат МОО выше среднего результата по муниципальному образованию; </w:t>
            </w:r>
          </w:p>
        </w:tc>
      </w:tr>
      <w:tr w:rsidR="004C236E" w:rsidRPr="004C236E" w:rsidTr="004C236E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9185" w:type="dxa"/>
            <w:gridSpan w:val="7"/>
          </w:tcPr>
          <w:p w:rsidR="004C236E" w:rsidRPr="004C236E" w:rsidRDefault="00E819C1" w:rsidP="004C236E">
            <w:pPr>
              <w:autoSpaceDE w:val="0"/>
              <w:autoSpaceDN w:val="0"/>
              <w:adjustRightInd w:val="0"/>
              <w:spacing w:after="0" w:line="240" w:lineRule="auto"/>
              <w:ind w:right="-113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E819C1">
              <w:rPr>
                <w:rFonts w:ascii="Liberation Serif" w:hAnsi="Liberation Serif" w:cs="Liberation Serif"/>
                <w:noProof/>
                <w:color w:val="FFFF00"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7974BF78" wp14:editId="0EE252F6">
                      <wp:simplePos x="0" y="0"/>
                      <wp:positionH relativeFrom="column">
                        <wp:posOffset>-134620</wp:posOffset>
                      </wp:positionH>
                      <wp:positionV relativeFrom="paragraph">
                        <wp:posOffset>99695</wp:posOffset>
                      </wp:positionV>
                      <wp:extent cx="161925" cy="76200"/>
                      <wp:effectExtent l="0" t="0" r="28575" b="19050"/>
                      <wp:wrapNone/>
                      <wp:docPr id="4" name="Прямоугольник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762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4">
                                  <a:shade val="50000"/>
                                </a:schemeClr>
                              </a:lnRef>
                              <a:fillRef idx="1">
                                <a:schemeClr val="accent4"/>
                              </a:fillRef>
                              <a:effectRef idx="0">
                                <a:schemeClr val="accent4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6107D12" id="Прямоугольник 4" o:spid="_x0000_s1026" style="position:absolute;margin-left:-10.6pt;margin-top:7.85pt;width:12.75pt;height:6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" fillcolor="#ffc000 [3207]" strokecolor="#7f5f00 [1607]" strokeweight="1pt"/>
                  </w:pict>
                </mc:Fallback>
              </mc:AlternateContent>
            </w:r>
            <w:r w:rsidR="004C236E" w:rsidRPr="004C236E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- разница между средним результатом МОО и средним результатом муниципального образования не является статистически значимой; </w:t>
            </w:r>
          </w:p>
        </w:tc>
      </w:tr>
      <w:tr w:rsidR="004C236E" w:rsidRPr="004C236E" w:rsidTr="004C236E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9185" w:type="dxa"/>
            <w:gridSpan w:val="7"/>
          </w:tcPr>
          <w:p w:rsidR="004C236E" w:rsidRPr="004C236E" w:rsidRDefault="004C236E" w:rsidP="004C236E">
            <w:pPr>
              <w:autoSpaceDE w:val="0"/>
              <w:autoSpaceDN w:val="0"/>
              <w:adjustRightInd w:val="0"/>
              <w:spacing w:after="0" w:line="240" w:lineRule="auto"/>
              <w:ind w:right="-113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noProof/>
                <w:color w:val="000000"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158F99C" wp14:editId="1D6C8CF9">
                      <wp:simplePos x="0" y="0"/>
                      <wp:positionH relativeFrom="column">
                        <wp:posOffset>-125095</wp:posOffset>
                      </wp:positionH>
                      <wp:positionV relativeFrom="paragraph">
                        <wp:posOffset>100330</wp:posOffset>
                      </wp:positionV>
                      <wp:extent cx="161925" cy="76200"/>
                      <wp:effectExtent l="0" t="0" r="28575" b="19050"/>
                      <wp:wrapNone/>
                      <wp:docPr id="3" name="Прямоугольник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762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2">
                                  <a:shade val="50000"/>
                                </a:schemeClr>
                              </a:lnRef>
                              <a:fillRef idx="1">
                                <a:schemeClr val="accent2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5603606" id="Прямоугольник 3" o:spid="_x0000_s1026" style="position:absolute;margin-left:-9.85pt;margin-top:7.9pt;width:12.75pt;height:6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" fillcolor="#ed7d31 [3205]" strokecolor="#823b0b [1605]" strokeweight="1pt"/>
                  </w:pict>
                </mc:Fallback>
              </mc:AlternateContent>
            </w:r>
            <w:r w:rsidRPr="004C236E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- средний результат МОО ниже, чем средний результат муниципального образования </w:t>
            </w:r>
          </w:p>
        </w:tc>
      </w:tr>
    </w:tbl>
    <w:p w:rsidR="006F7564" w:rsidRDefault="006F7564"/>
    <w:p w:rsidR="004B21F6" w:rsidRDefault="004B21F6"/>
    <w:p w:rsidR="004B21F6" w:rsidRDefault="004B21F6">
      <w:r w:rsidRPr="004B21F6">
        <w:drawing>
          <wp:inline distT="0" distB="0" distL="0" distR="0" wp14:anchorId="05EF0CC3" wp14:editId="3860E506">
            <wp:extent cx="5940425" cy="2933700"/>
            <wp:effectExtent l="0" t="0" r="3175" b="0"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:rsidR="002C22FD" w:rsidRDefault="002C22FD" w:rsidP="002C22FD">
      <w:pPr>
        <w:pStyle w:val="Default"/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Представленные в </w:t>
      </w:r>
      <w:proofErr w:type="gramStart"/>
      <w:r>
        <w:rPr>
          <w:sz w:val="28"/>
          <w:szCs w:val="28"/>
        </w:rPr>
        <w:t>таблице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и</w:t>
      </w:r>
      <w:proofErr w:type="gramEnd"/>
      <w:r>
        <w:rPr>
          <w:sz w:val="28"/>
          <w:szCs w:val="28"/>
        </w:rPr>
        <w:t xml:space="preserve"> на диаграмме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данные позволяют сделать следующие выводы:</w:t>
      </w:r>
    </w:p>
    <w:p w:rsidR="002C22FD" w:rsidRDefault="002C22FD" w:rsidP="002C22FD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 ниже среднего уровня общей функциональной грамотности в 8х классах у участников сформированы </w:t>
      </w:r>
      <w:r>
        <w:rPr>
          <w:sz w:val="28"/>
          <w:szCs w:val="28"/>
        </w:rPr>
        <w:t>финансовая грамотность</w:t>
      </w:r>
      <w:r>
        <w:rPr>
          <w:sz w:val="28"/>
          <w:szCs w:val="28"/>
        </w:rPr>
        <w:t>;</w:t>
      </w:r>
    </w:p>
    <w:p w:rsidR="002C22FD" w:rsidRDefault="002C22FD" w:rsidP="002C22FD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>
        <w:rPr>
          <w:sz w:val="28"/>
          <w:szCs w:val="28"/>
        </w:rPr>
        <w:t>средний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уровень</w:t>
      </w:r>
      <w:r>
        <w:rPr>
          <w:sz w:val="28"/>
          <w:szCs w:val="28"/>
        </w:rPr>
        <w:t xml:space="preserve"> общей функциональной грамотности в </w:t>
      </w:r>
      <w:r>
        <w:rPr>
          <w:sz w:val="28"/>
          <w:szCs w:val="28"/>
        </w:rPr>
        <w:t>8</w:t>
      </w:r>
      <w:r>
        <w:rPr>
          <w:sz w:val="28"/>
          <w:szCs w:val="28"/>
        </w:rPr>
        <w:t xml:space="preserve">х </w:t>
      </w:r>
      <w:r>
        <w:rPr>
          <w:sz w:val="28"/>
          <w:szCs w:val="28"/>
        </w:rPr>
        <w:t xml:space="preserve">классах </w:t>
      </w:r>
      <w:r>
        <w:rPr>
          <w:sz w:val="28"/>
          <w:szCs w:val="28"/>
        </w:rPr>
        <w:t>у участников сформированы читательская грамотность</w:t>
      </w:r>
      <w:r>
        <w:rPr>
          <w:sz w:val="28"/>
          <w:szCs w:val="28"/>
        </w:rPr>
        <w:t xml:space="preserve"> и</w:t>
      </w:r>
      <w:r>
        <w:rPr>
          <w:sz w:val="28"/>
          <w:szCs w:val="28"/>
        </w:rPr>
        <w:t xml:space="preserve"> математическая грамотность; </w:t>
      </w:r>
    </w:p>
    <w:p w:rsidR="002C22FD" w:rsidRDefault="002C22FD" w:rsidP="002C22FD">
      <w:pPr>
        <w:pStyle w:val="Default"/>
        <w:rPr>
          <w:sz w:val="28"/>
          <w:szCs w:val="28"/>
        </w:rPr>
      </w:pPr>
      <w:r>
        <w:rPr>
          <w:sz w:val="28"/>
          <w:szCs w:val="28"/>
        </w:rPr>
        <w:t>– выше среднего уровня общей функциональной грамотности в</w:t>
      </w:r>
      <w:r>
        <w:rPr>
          <w:sz w:val="28"/>
          <w:szCs w:val="28"/>
        </w:rPr>
        <w:t xml:space="preserve"> 8</w:t>
      </w:r>
      <w:r>
        <w:rPr>
          <w:sz w:val="28"/>
          <w:szCs w:val="28"/>
        </w:rPr>
        <w:t xml:space="preserve"> классах у участников сформированы естественнонаучная грамотность, креативное мышление;</w:t>
      </w:r>
    </w:p>
    <w:p w:rsidR="002C22FD" w:rsidRPr="002C22FD" w:rsidRDefault="002C22FD" w:rsidP="002C22F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Рекомендации</w:t>
      </w:r>
      <w:r w:rsidRPr="002C22FD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на уровне общеобразовательной организации </w:t>
      </w:r>
    </w:p>
    <w:p w:rsidR="002C22FD" w:rsidRPr="002C22FD" w:rsidRDefault="002C22FD" w:rsidP="002C22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C22FD">
        <w:rPr>
          <w:rFonts w:ascii="Times New Roman" w:hAnsi="Times New Roman" w:cs="Times New Roman"/>
          <w:color w:val="000000"/>
          <w:sz w:val="28"/>
          <w:szCs w:val="28"/>
        </w:rPr>
        <w:t xml:space="preserve">В целях организации работы по формированию и оценке функциональной грамотности в общеобразовательных организациях управленческим командам образовательных организаций: </w:t>
      </w:r>
    </w:p>
    <w:p w:rsidR="004374C0" w:rsidRPr="002C22FD" w:rsidRDefault="002C22FD" w:rsidP="002C22F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C22FD">
        <w:rPr>
          <w:rFonts w:ascii="Times New Roman" w:hAnsi="Times New Roman" w:cs="Times New Roman"/>
          <w:color w:val="000000"/>
          <w:sz w:val="28"/>
          <w:szCs w:val="28"/>
        </w:rPr>
        <w:t xml:space="preserve">1. Принять к сведению результаты мониторинга, представленные в личных кабинетах на платформе oko.ixora.ru, проанализировать данные с учетом Рекомендации по работе со статистическими материалами, предоставленными по итогам мониторинга функциональной грамотности в Свердловской области в личных кабинетах oko.ixora.ru. (Адресные рекомендации по итогам мониторинга функциональной грамотности обучающихся / А. В. </w:t>
      </w:r>
      <w:proofErr w:type="spellStart"/>
      <w:r w:rsidRPr="002C22FD">
        <w:rPr>
          <w:rFonts w:ascii="Times New Roman" w:hAnsi="Times New Roman" w:cs="Times New Roman"/>
          <w:color w:val="000000"/>
          <w:sz w:val="28"/>
          <w:szCs w:val="28"/>
        </w:rPr>
        <w:t>Алейникова</w:t>
      </w:r>
      <w:proofErr w:type="spellEnd"/>
      <w:r w:rsidRPr="002C22FD">
        <w:rPr>
          <w:rFonts w:ascii="Times New Roman" w:hAnsi="Times New Roman" w:cs="Times New Roman"/>
          <w:color w:val="000000"/>
          <w:sz w:val="28"/>
          <w:szCs w:val="28"/>
        </w:rPr>
        <w:t xml:space="preserve">, А. В., </w:t>
      </w:r>
      <w:proofErr w:type="spellStart"/>
      <w:r w:rsidRPr="002C22FD">
        <w:rPr>
          <w:rFonts w:ascii="Times New Roman" w:hAnsi="Times New Roman" w:cs="Times New Roman"/>
          <w:color w:val="000000"/>
          <w:sz w:val="28"/>
          <w:szCs w:val="28"/>
        </w:rPr>
        <w:t>Аникиева</w:t>
      </w:r>
      <w:proofErr w:type="spellEnd"/>
      <w:r w:rsidRPr="002C22FD">
        <w:rPr>
          <w:rFonts w:ascii="Times New Roman" w:hAnsi="Times New Roman" w:cs="Times New Roman"/>
          <w:color w:val="000000"/>
          <w:sz w:val="28"/>
          <w:szCs w:val="28"/>
        </w:rPr>
        <w:t xml:space="preserve">, В. Г. </w:t>
      </w:r>
      <w:proofErr w:type="spellStart"/>
      <w:r w:rsidRPr="002C22FD">
        <w:rPr>
          <w:rFonts w:ascii="Times New Roman" w:hAnsi="Times New Roman" w:cs="Times New Roman"/>
          <w:color w:val="000000"/>
          <w:sz w:val="28"/>
          <w:szCs w:val="28"/>
        </w:rPr>
        <w:t>Литвинчук</w:t>
      </w:r>
      <w:proofErr w:type="spellEnd"/>
      <w:r w:rsidRPr="002C22FD">
        <w:rPr>
          <w:rFonts w:ascii="Times New Roman" w:hAnsi="Times New Roman" w:cs="Times New Roman"/>
          <w:color w:val="000000"/>
          <w:sz w:val="28"/>
          <w:szCs w:val="28"/>
        </w:rPr>
        <w:t>, К. И. Трухин; Министерство образования и молодежной политики Свердловской области, Государственное автономное образовательное учреждение дополнительного профессионального образования Свердловской области «Институт развития образования». – Екатеринбург: ГАОУ ДПО СО «ИРО», 2021. – 57 с.)</w:t>
      </w:r>
    </w:p>
    <w:p w:rsidR="002C22FD" w:rsidRPr="002C22FD" w:rsidRDefault="002C22FD" w:rsidP="002C22FD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2C22FD">
        <w:rPr>
          <w:rFonts w:ascii="Times New Roman" w:hAnsi="Times New Roman" w:cs="Times New Roman"/>
          <w:sz w:val="28"/>
          <w:szCs w:val="28"/>
        </w:rPr>
        <w:t xml:space="preserve">2. Организовать работу </w:t>
      </w:r>
      <w:proofErr w:type="spellStart"/>
      <w:r w:rsidRPr="002C22FD">
        <w:rPr>
          <w:rFonts w:ascii="Times New Roman" w:hAnsi="Times New Roman" w:cs="Times New Roman"/>
          <w:sz w:val="28"/>
          <w:szCs w:val="28"/>
        </w:rPr>
        <w:t>межпредметных</w:t>
      </w:r>
      <w:proofErr w:type="spellEnd"/>
      <w:r w:rsidRPr="002C22FD">
        <w:rPr>
          <w:rFonts w:ascii="Times New Roman" w:hAnsi="Times New Roman" w:cs="Times New Roman"/>
          <w:sz w:val="28"/>
          <w:szCs w:val="28"/>
        </w:rPr>
        <w:t xml:space="preserve"> методических объединений, обеспечивающих внедрение систематической деятельности по формированию функциональной грамотности в практику работы педагогов - предметников. </w:t>
      </w:r>
    </w:p>
    <w:p w:rsidR="002C22FD" w:rsidRPr="002C22FD" w:rsidRDefault="002C22FD" w:rsidP="002C22FD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2C22FD">
        <w:rPr>
          <w:rFonts w:ascii="Times New Roman" w:hAnsi="Times New Roman" w:cs="Times New Roman"/>
          <w:sz w:val="28"/>
          <w:szCs w:val="28"/>
        </w:rPr>
        <w:lastRenderedPageBreak/>
        <w:t xml:space="preserve">3. В рамках работы </w:t>
      </w:r>
      <w:proofErr w:type="spellStart"/>
      <w:r w:rsidRPr="002C22FD">
        <w:rPr>
          <w:rFonts w:ascii="Times New Roman" w:hAnsi="Times New Roman" w:cs="Times New Roman"/>
          <w:sz w:val="28"/>
          <w:szCs w:val="28"/>
        </w:rPr>
        <w:t>межпредметных</w:t>
      </w:r>
      <w:proofErr w:type="spellEnd"/>
      <w:r w:rsidRPr="002C22FD">
        <w:rPr>
          <w:rFonts w:ascii="Times New Roman" w:hAnsi="Times New Roman" w:cs="Times New Roman"/>
          <w:sz w:val="28"/>
          <w:szCs w:val="28"/>
        </w:rPr>
        <w:t xml:space="preserve"> методических объединений проанализировать результаты мониторинга функциональной грамотности в разрезе образовательной организации в целом, в разрезе параллели, отдельных классов и обучающихся. В анализе рекомендуется использовать как статические, так и качественные методы анализа. </w:t>
      </w:r>
    </w:p>
    <w:p w:rsidR="002C22FD" w:rsidRPr="002C22FD" w:rsidRDefault="002C22FD" w:rsidP="002C22FD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2C22FD">
        <w:rPr>
          <w:rFonts w:ascii="Times New Roman" w:hAnsi="Times New Roman" w:cs="Times New Roman"/>
          <w:sz w:val="28"/>
          <w:szCs w:val="28"/>
        </w:rPr>
        <w:t xml:space="preserve">4. В ходе анализа результатов мониторинга функциональной грамотности в разрезе образовательной организации в целом, в разрезе параллели, отдельных классов и обучающихся определить «сильные» и «слабые» направления функциональной грамотности, выявить дефициты в конкретных аспектах функциональной грамотности, требующие устранения. </w:t>
      </w:r>
    </w:p>
    <w:p w:rsidR="002C22FD" w:rsidRPr="002C22FD" w:rsidRDefault="002C22FD" w:rsidP="002C22FD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2C22FD">
        <w:rPr>
          <w:rFonts w:ascii="Times New Roman" w:hAnsi="Times New Roman" w:cs="Times New Roman"/>
          <w:sz w:val="28"/>
          <w:szCs w:val="28"/>
        </w:rPr>
        <w:t xml:space="preserve">5. В рамках работы школьных </w:t>
      </w:r>
      <w:proofErr w:type="spellStart"/>
      <w:r w:rsidRPr="002C22FD">
        <w:rPr>
          <w:rFonts w:ascii="Times New Roman" w:hAnsi="Times New Roman" w:cs="Times New Roman"/>
          <w:sz w:val="28"/>
          <w:szCs w:val="28"/>
        </w:rPr>
        <w:t>межпредметных</w:t>
      </w:r>
      <w:proofErr w:type="spellEnd"/>
      <w:r w:rsidRPr="002C22FD">
        <w:rPr>
          <w:rFonts w:ascii="Times New Roman" w:hAnsi="Times New Roman" w:cs="Times New Roman"/>
          <w:sz w:val="28"/>
          <w:szCs w:val="28"/>
        </w:rPr>
        <w:t xml:space="preserve"> методических объединений определить механизмы включения в работу педагогов форм и методов формирования и оценки функциональной грамотности обучающихся. </w:t>
      </w:r>
    </w:p>
    <w:p w:rsidR="002C22FD" w:rsidRPr="002C22FD" w:rsidRDefault="002C22FD" w:rsidP="002C22FD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2C22FD">
        <w:rPr>
          <w:rFonts w:ascii="Times New Roman" w:hAnsi="Times New Roman" w:cs="Times New Roman"/>
          <w:sz w:val="28"/>
          <w:szCs w:val="28"/>
        </w:rPr>
        <w:t xml:space="preserve">6. Включить в план методической работы образовательной организации серию семинаров-практикумов, направленных на совместную работу всего педагогического коллектива по формированию функциональной грамотности: </w:t>
      </w:r>
    </w:p>
    <w:p w:rsidR="002C22FD" w:rsidRPr="002C22FD" w:rsidRDefault="002C22FD" w:rsidP="002C22FD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2C22FD">
        <w:rPr>
          <w:rFonts w:ascii="Times New Roman" w:hAnsi="Times New Roman" w:cs="Times New Roman"/>
          <w:sz w:val="28"/>
          <w:szCs w:val="28"/>
        </w:rPr>
        <w:t xml:space="preserve">– определить по каждому компоненту функциональной грамотности, за какие умения может отвечать педагог каждого предмета; </w:t>
      </w:r>
    </w:p>
    <w:p w:rsidR="002C22FD" w:rsidRPr="002C22FD" w:rsidRDefault="002C22FD" w:rsidP="002C22FD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2C22FD">
        <w:rPr>
          <w:rFonts w:ascii="Times New Roman" w:hAnsi="Times New Roman" w:cs="Times New Roman"/>
          <w:sz w:val="28"/>
          <w:szCs w:val="28"/>
        </w:rPr>
        <w:t xml:space="preserve">– согласовать цели по достижению результатов; </w:t>
      </w:r>
    </w:p>
    <w:p w:rsidR="002C22FD" w:rsidRPr="002C22FD" w:rsidRDefault="002C22FD" w:rsidP="002C22FD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2C22FD">
        <w:rPr>
          <w:rFonts w:ascii="Times New Roman" w:hAnsi="Times New Roman" w:cs="Times New Roman"/>
          <w:sz w:val="28"/>
          <w:szCs w:val="28"/>
        </w:rPr>
        <w:t xml:space="preserve">– определить промежуточные планируемые результаты, достижение которых способствует формированию функциональной грамотности; </w:t>
      </w:r>
    </w:p>
    <w:p w:rsidR="002C22FD" w:rsidRPr="002C22FD" w:rsidRDefault="002C22FD" w:rsidP="002C22FD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2C22FD">
        <w:rPr>
          <w:rFonts w:ascii="Times New Roman" w:hAnsi="Times New Roman" w:cs="Times New Roman"/>
          <w:sz w:val="28"/>
          <w:szCs w:val="28"/>
        </w:rPr>
        <w:t xml:space="preserve">– согласовать способы и подходы, обеспечивающие возможности усиления </w:t>
      </w:r>
      <w:proofErr w:type="spellStart"/>
      <w:r w:rsidRPr="002C22FD">
        <w:rPr>
          <w:rFonts w:ascii="Times New Roman" w:hAnsi="Times New Roman" w:cs="Times New Roman"/>
          <w:sz w:val="28"/>
          <w:szCs w:val="28"/>
        </w:rPr>
        <w:t>межпредметных</w:t>
      </w:r>
      <w:proofErr w:type="spellEnd"/>
      <w:r w:rsidRPr="002C22FD">
        <w:rPr>
          <w:rFonts w:ascii="Times New Roman" w:hAnsi="Times New Roman" w:cs="Times New Roman"/>
          <w:sz w:val="28"/>
          <w:szCs w:val="28"/>
        </w:rPr>
        <w:t xml:space="preserve"> связей; </w:t>
      </w:r>
    </w:p>
    <w:p w:rsidR="002C22FD" w:rsidRPr="002C22FD" w:rsidRDefault="002C22FD" w:rsidP="002C22FD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2C22FD">
        <w:rPr>
          <w:rFonts w:ascii="Times New Roman" w:hAnsi="Times New Roman" w:cs="Times New Roman"/>
          <w:sz w:val="28"/>
          <w:szCs w:val="28"/>
        </w:rPr>
        <w:t xml:space="preserve">– обсудить выявленные проблемные области и оценить возможности их решения с точки зрения имеющихся ресурсов: ресурсы школы или привлечение ресурсов муниципального образования и др. </w:t>
      </w:r>
    </w:p>
    <w:p w:rsidR="002C22FD" w:rsidRPr="002C22FD" w:rsidRDefault="002C22FD" w:rsidP="002C22FD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2C22FD">
        <w:rPr>
          <w:rFonts w:ascii="Times New Roman" w:hAnsi="Times New Roman" w:cs="Times New Roman"/>
          <w:sz w:val="28"/>
          <w:szCs w:val="28"/>
        </w:rPr>
        <w:t xml:space="preserve">7. При организации проектно-исследовательской работы обучающихся акцентировать внимание на </w:t>
      </w:r>
      <w:proofErr w:type="spellStart"/>
      <w:r w:rsidRPr="002C22FD">
        <w:rPr>
          <w:rFonts w:ascii="Times New Roman" w:hAnsi="Times New Roman" w:cs="Times New Roman"/>
          <w:sz w:val="28"/>
          <w:szCs w:val="28"/>
        </w:rPr>
        <w:t>метапредметных</w:t>
      </w:r>
      <w:proofErr w:type="spellEnd"/>
      <w:r w:rsidRPr="002C22FD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2C22FD">
        <w:rPr>
          <w:rFonts w:ascii="Times New Roman" w:hAnsi="Times New Roman" w:cs="Times New Roman"/>
          <w:sz w:val="28"/>
          <w:szCs w:val="28"/>
        </w:rPr>
        <w:t>межпредметных</w:t>
      </w:r>
      <w:proofErr w:type="spellEnd"/>
      <w:r w:rsidRPr="002C22FD">
        <w:rPr>
          <w:rFonts w:ascii="Times New Roman" w:hAnsi="Times New Roman" w:cs="Times New Roman"/>
          <w:sz w:val="28"/>
          <w:szCs w:val="28"/>
        </w:rPr>
        <w:t xml:space="preserve"> связях; </w:t>
      </w:r>
    </w:p>
    <w:p w:rsidR="002C22FD" w:rsidRPr="002C22FD" w:rsidRDefault="002C22FD" w:rsidP="002C22FD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2C22FD">
        <w:rPr>
          <w:rFonts w:ascii="Times New Roman" w:hAnsi="Times New Roman" w:cs="Times New Roman"/>
          <w:sz w:val="28"/>
          <w:szCs w:val="28"/>
        </w:rPr>
        <w:t xml:space="preserve">8. Включить в план внеурочной деятельности: </w:t>
      </w:r>
    </w:p>
    <w:p w:rsidR="002C22FD" w:rsidRPr="002C22FD" w:rsidRDefault="002C22FD" w:rsidP="002C22FD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2C22FD">
        <w:rPr>
          <w:rFonts w:ascii="Times New Roman" w:hAnsi="Times New Roman" w:cs="Times New Roman"/>
          <w:sz w:val="28"/>
          <w:szCs w:val="28"/>
        </w:rPr>
        <w:t xml:space="preserve">– специальные учебные курсы, направленные на формирование функциональной грамотности и </w:t>
      </w:r>
      <w:proofErr w:type="spellStart"/>
      <w:r w:rsidRPr="002C22FD">
        <w:rPr>
          <w:rFonts w:ascii="Times New Roman" w:hAnsi="Times New Roman" w:cs="Times New Roman"/>
          <w:sz w:val="28"/>
          <w:szCs w:val="28"/>
        </w:rPr>
        <w:t>межпредметных</w:t>
      </w:r>
      <w:proofErr w:type="spellEnd"/>
      <w:r w:rsidRPr="002C22FD">
        <w:rPr>
          <w:rFonts w:ascii="Times New Roman" w:hAnsi="Times New Roman" w:cs="Times New Roman"/>
          <w:sz w:val="28"/>
          <w:szCs w:val="28"/>
        </w:rPr>
        <w:t xml:space="preserve"> результатов (например, «Финансовая грамотность», «Осознанное чтение»); </w:t>
      </w:r>
    </w:p>
    <w:p w:rsidR="002C22FD" w:rsidRPr="002C22FD" w:rsidRDefault="002C22FD" w:rsidP="002C22FD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2C22FD">
        <w:rPr>
          <w:rFonts w:ascii="Times New Roman" w:hAnsi="Times New Roman" w:cs="Times New Roman"/>
          <w:sz w:val="28"/>
          <w:szCs w:val="28"/>
        </w:rPr>
        <w:t>– образовательные события, направленные на совместную работу всего педагогического коллектива по формированию функциональной грамотности (</w:t>
      </w:r>
      <w:proofErr w:type="spellStart"/>
      <w:r w:rsidRPr="002C22FD">
        <w:rPr>
          <w:rFonts w:ascii="Times New Roman" w:hAnsi="Times New Roman" w:cs="Times New Roman"/>
          <w:sz w:val="28"/>
          <w:szCs w:val="28"/>
        </w:rPr>
        <w:t>межпредметные</w:t>
      </w:r>
      <w:proofErr w:type="spellEnd"/>
      <w:r w:rsidRPr="002C22FD">
        <w:rPr>
          <w:rFonts w:ascii="Times New Roman" w:hAnsi="Times New Roman" w:cs="Times New Roman"/>
          <w:sz w:val="28"/>
          <w:szCs w:val="28"/>
        </w:rPr>
        <w:t xml:space="preserve"> недели, учебно-исследовательские конференции, </w:t>
      </w:r>
      <w:proofErr w:type="spellStart"/>
      <w:r w:rsidRPr="002C22FD">
        <w:rPr>
          <w:rFonts w:ascii="Times New Roman" w:hAnsi="Times New Roman" w:cs="Times New Roman"/>
          <w:sz w:val="28"/>
          <w:szCs w:val="28"/>
        </w:rPr>
        <w:t>межпредметные</w:t>
      </w:r>
      <w:proofErr w:type="spellEnd"/>
      <w:r w:rsidRPr="002C22FD">
        <w:rPr>
          <w:rFonts w:ascii="Times New Roman" w:hAnsi="Times New Roman" w:cs="Times New Roman"/>
          <w:sz w:val="28"/>
          <w:szCs w:val="28"/>
        </w:rPr>
        <w:t xml:space="preserve"> марафоны и т. д.). </w:t>
      </w:r>
    </w:p>
    <w:p w:rsidR="002C22FD" w:rsidRPr="002C22FD" w:rsidRDefault="002C22FD" w:rsidP="002C22FD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2C22FD">
        <w:rPr>
          <w:rFonts w:ascii="Times New Roman" w:hAnsi="Times New Roman" w:cs="Times New Roman"/>
          <w:sz w:val="28"/>
          <w:szCs w:val="28"/>
        </w:rPr>
        <w:t xml:space="preserve">9. Включить в план повышения квалификации и профессионального развития педагогов тематику формирования и оценки функциональной грамотности; обеспечить необходимое повышение квалификации педагогических работников. </w:t>
      </w:r>
    </w:p>
    <w:p w:rsidR="002C22FD" w:rsidRPr="002C22FD" w:rsidRDefault="002C22FD" w:rsidP="002C22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22FD">
        <w:rPr>
          <w:rFonts w:ascii="Times New Roman" w:hAnsi="Times New Roman" w:cs="Times New Roman"/>
          <w:sz w:val="28"/>
          <w:szCs w:val="28"/>
        </w:rPr>
        <w:t>10. Проанализировать учебно-методические материалы, которые используют учителя, на предмет формирования различных аспектов функциональной грамотности, при необходимости обеспечить учителей</w:t>
      </w:r>
    </w:p>
    <w:p w:rsidR="002C22FD" w:rsidRPr="002C22FD" w:rsidRDefault="002C22FD" w:rsidP="002C22FD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2C22FD">
        <w:rPr>
          <w:rFonts w:ascii="Times New Roman" w:hAnsi="Times New Roman" w:cs="Times New Roman"/>
          <w:sz w:val="28"/>
          <w:szCs w:val="28"/>
        </w:rPr>
        <w:t xml:space="preserve">дополнительными учебными материалами, необходимыми для формирования и оценки функциональной грамотности. </w:t>
      </w:r>
    </w:p>
    <w:p w:rsidR="002C22FD" w:rsidRPr="002C22FD" w:rsidRDefault="002C22FD" w:rsidP="002C22FD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2C22FD">
        <w:rPr>
          <w:rFonts w:ascii="Times New Roman" w:hAnsi="Times New Roman" w:cs="Times New Roman"/>
          <w:sz w:val="28"/>
          <w:szCs w:val="28"/>
        </w:rPr>
        <w:lastRenderedPageBreak/>
        <w:t xml:space="preserve">11. Организовать сотрудничество и обмен опытом педагогов по вопросам формировании и оценки функциональной грамотности, а также поощрения их работы в связи с формированием и оценкой функциональной грамотности обучающихся. </w:t>
      </w:r>
    </w:p>
    <w:p w:rsidR="002C22FD" w:rsidRPr="002C22FD" w:rsidRDefault="002C22FD" w:rsidP="002C22FD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2C22FD">
        <w:rPr>
          <w:rFonts w:ascii="Times New Roman" w:hAnsi="Times New Roman" w:cs="Times New Roman"/>
          <w:sz w:val="28"/>
          <w:szCs w:val="28"/>
        </w:rPr>
        <w:t xml:space="preserve">В целях организации работы по формированию и оценке функциональной грамотности в общеобразовательных организациях </w:t>
      </w:r>
      <w:r w:rsidRPr="002C22FD">
        <w:rPr>
          <w:rFonts w:ascii="Times New Roman" w:hAnsi="Times New Roman" w:cs="Times New Roman"/>
          <w:i/>
          <w:iCs/>
          <w:sz w:val="28"/>
          <w:szCs w:val="28"/>
        </w:rPr>
        <w:t xml:space="preserve">педагогическим работникам: </w:t>
      </w:r>
    </w:p>
    <w:p w:rsidR="002C22FD" w:rsidRPr="002C22FD" w:rsidRDefault="002C22FD" w:rsidP="002C22FD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2C22FD">
        <w:rPr>
          <w:rFonts w:ascii="Times New Roman" w:hAnsi="Times New Roman" w:cs="Times New Roman"/>
          <w:sz w:val="28"/>
          <w:szCs w:val="28"/>
        </w:rPr>
        <w:t xml:space="preserve">– ознакомиться с основными понятиями, связанными с функциональной грамотностью; </w:t>
      </w:r>
    </w:p>
    <w:p w:rsidR="002C22FD" w:rsidRPr="002C22FD" w:rsidRDefault="002C22FD" w:rsidP="002C22FD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2C22FD">
        <w:rPr>
          <w:rFonts w:ascii="Times New Roman" w:hAnsi="Times New Roman" w:cs="Times New Roman"/>
          <w:sz w:val="28"/>
          <w:szCs w:val="28"/>
        </w:rPr>
        <w:t xml:space="preserve">– принять участие в анализе результатов мониторинга функциональной грамотности; </w:t>
      </w:r>
    </w:p>
    <w:p w:rsidR="002C22FD" w:rsidRPr="002C22FD" w:rsidRDefault="002C22FD" w:rsidP="002C22FD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2C22FD">
        <w:rPr>
          <w:rFonts w:ascii="Times New Roman" w:hAnsi="Times New Roman" w:cs="Times New Roman"/>
          <w:sz w:val="28"/>
          <w:szCs w:val="28"/>
        </w:rPr>
        <w:t xml:space="preserve">– принять участие в выработке единых </w:t>
      </w:r>
      <w:proofErr w:type="spellStart"/>
      <w:r w:rsidRPr="002C22FD">
        <w:rPr>
          <w:rFonts w:ascii="Times New Roman" w:hAnsi="Times New Roman" w:cs="Times New Roman"/>
          <w:sz w:val="28"/>
          <w:szCs w:val="28"/>
        </w:rPr>
        <w:t>межпредметных</w:t>
      </w:r>
      <w:proofErr w:type="spellEnd"/>
      <w:r w:rsidRPr="002C22FD">
        <w:rPr>
          <w:rFonts w:ascii="Times New Roman" w:hAnsi="Times New Roman" w:cs="Times New Roman"/>
          <w:sz w:val="28"/>
          <w:szCs w:val="28"/>
        </w:rPr>
        <w:t xml:space="preserve"> подходов к формированию и развитию функциональной грамотности обучающихся группой учителей, работающих с определенным классом; </w:t>
      </w:r>
    </w:p>
    <w:p w:rsidR="002C22FD" w:rsidRPr="002C22FD" w:rsidRDefault="002C22FD" w:rsidP="002C22FD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2C22FD">
        <w:rPr>
          <w:rFonts w:ascii="Times New Roman" w:hAnsi="Times New Roman" w:cs="Times New Roman"/>
          <w:sz w:val="28"/>
          <w:szCs w:val="28"/>
        </w:rPr>
        <w:t xml:space="preserve">– акцентировать внимание обучающихся на возможности применения предметных знаний в ситуациях повседневной жизни; </w:t>
      </w:r>
    </w:p>
    <w:p w:rsidR="002C22FD" w:rsidRPr="002C22FD" w:rsidRDefault="002C22FD" w:rsidP="002C22FD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2C22FD">
        <w:rPr>
          <w:rFonts w:ascii="Times New Roman" w:hAnsi="Times New Roman" w:cs="Times New Roman"/>
          <w:sz w:val="28"/>
          <w:szCs w:val="28"/>
        </w:rPr>
        <w:t xml:space="preserve">– включать в ежедневную практику своей работы задания, направленные на формирование функциональной грамотности обучающихся (по всем предметам учебного плана) (список источников открытых заданий – см. в приложении); </w:t>
      </w:r>
    </w:p>
    <w:p w:rsidR="002C22FD" w:rsidRPr="002C22FD" w:rsidRDefault="002C22FD" w:rsidP="002C22FD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2C22FD">
        <w:rPr>
          <w:rFonts w:ascii="Times New Roman" w:hAnsi="Times New Roman" w:cs="Times New Roman"/>
          <w:sz w:val="28"/>
          <w:szCs w:val="28"/>
        </w:rPr>
        <w:t>– использовать в работе учебно-методические материалы, направленные на формирование функционал</w:t>
      </w:r>
      <w:r w:rsidR="00CF65A1">
        <w:rPr>
          <w:rFonts w:ascii="Times New Roman" w:hAnsi="Times New Roman" w:cs="Times New Roman"/>
          <w:sz w:val="28"/>
          <w:szCs w:val="28"/>
        </w:rPr>
        <w:t>ьной грамотности у обучающихся.</w:t>
      </w:r>
    </w:p>
    <w:sectPr w:rsidR="002C22FD" w:rsidRPr="002C22FD" w:rsidSect="004A4FA8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Liberation Serif"/>
    <w:panose1 w:val="00000000000000000000"/>
    <w:charset w:val="CC"/>
    <w:family w:val="roman"/>
    <w:notTrueType/>
    <w:pitch w:val="default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672E"/>
    <w:rsid w:val="002606D1"/>
    <w:rsid w:val="002C22FD"/>
    <w:rsid w:val="004374C0"/>
    <w:rsid w:val="004A4FA8"/>
    <w:rsid w:val="004B21F6"/>
    <w:rsid w:val="004C236E"/>
    <w:rsid w:val="0058672E"/>
    <w:rsid w:val="006F7564"/>
    <w:rsid w:val="0086512F"/>
    <w:rsid w:val="00974D5C"/>
    <w:rsid w:val="00A31530"/>
    <w:rsid w:val="00B16034"/>
    <w:rsid w:val="00C15599"/>
    <w:rsid w:val="00CF65A1"/>
    <w:rsid w:val="00E81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842ED06-BA3F-42EB-A57E-DCCDA89415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31530"/>
    <w:pPr>
      <w:autoSpaceDE w:val="0"/>
      <w:autoSpaceDN w:val="0"/>
      <w:adjustRightInd w:val="0"/>
      <w:spacing w:after="0" w:line="240" w:lineRule="auto"/>
    </w:pPr>
    <w:rPr>
      <w:rFonts w:ascii="Liberation Serif" w:hAnsi="Liberation Serif" w:cs="Liberation Serif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D:\&#1053;&#1086;&#1074;&#1072;&#1103;%20&#1087;&#1072;&#1087;&#1082;&#1072;\&#1088;&#1072;&#1073;&#1086;&#1095;&#1072;&#1103;%20&#1087;&#1072;&#1087;&#1082;&#1072;\2020-2021\&#1060;&#1091;&#1085;&#1082;&#1094;&#1080;&#1086;&#1085;&#1072;&#1083;&#1100;&#1085;&#1072;&#1103;%20&#1075;&#1088;&#1072;&#1084;&#1086;&#1090;&#1085;&#1086;&#1089;&#1090;&#1100;\&#1060;&#1091;&#1085;&#1082;&#1094;&#1080;&#1086;&#1085;&#1072;&#1083;&#1100;&#1085;&#1072;&#1103;%20&#1075;&#1088;&#1072;&#1084;&#1086;&#1090;&#1085;&#1086;&#1089;&#1090;&#1100;,%208%20&#1082;&#1083;&#1072;&#1089;&#1089;,%20&#1057;&#1074;&#1077;&#1088;&#1076;&#1083;&#1086;&#1074;&#1089;&#1082;&#1072;&#1103;%20&#1086;&#1073;&#1083;&#1072;&#1089;&#1090;&#1100;,%20&#1088;&#1077;&#1079;&#1091;&#1083;&#1100;&#1090;&#1072;&#1090;&#1099;,%2004.05.2021%2007-29.xlsx" TargetMode="Externa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chartUserShapes" Target="../drawings/drawing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cap="all" spc="120" normalizeH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dirty="0"/>
              <a:t>Итоги</a:t>
            </a:r>
            <a:r>
              <a:rPr lang="ru-RU" baseline="0" dirty="0"/>
              <a:t> мониторинга функциональной </a:t>
            </a:r>
            <a:r>
              <a:rPr lang="ru-RU" baseline="0" dirty="0" smtClean="0"/>
              <a:t>грамотности по математике</a:t>
            </a:r>
            <a:endParaRPr lang="ru-RU" dirty="0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cap="all" spc="120" normalizeH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-540000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1400" b="1" i="0" u="none" strike="noStrike" kern="1200" baseline="0">
                    <a:solidFill>
                      <a:schemeClr val="tx1">
                        <a:lumMod val="50000"/>
                        <a:lumOff val="50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Лист1!$B$3:$B$8</c:f>
              <c:strCache>
                <c:ptCount val="6"/>
                <c:pt idx="0">
                  <c:v>8а</c:v>
                </c:pt>
                <c:pt idx="1">
                  <c:v>8б</c:v>
                </c:pt>
                <c:pt idx="3">
                  <c:v>МБОУ СОШ № 4</c:v>
                </c:pt>
                <c:pt idx="4">
                  <c:v>Артемовский район</c:v>
                </c:pt>
                <c:pt idx="5">
                  <c:v>Свердловская обл</c:v>
                </c:pt>
              </c:strCache>
            </c:strRef>
          </c:cat>
          <c:val>
            <c:numRef>
              <c:f>Лист1!$C$3:$C$8</c:f>
              <c:numCache>
                <c:formatCode>General</c:formatCode>
                <c:ptCount val="6"/>
                <c:pt idx="0">
                  <c:v>27</c:v>
                </c:pt>
                <c:pt idx="1">
                  <c:v>33</c:v>
                </c:pt>
                <c:pt idx="3">
                  <c:v>30.1</c:v>
                </c:pt>
                <c:pt idx="4">
                  <c:v>30.71</c:v>
                </c:pt>
                <c:pt idx="5">
                  <c:v>34.82</c:v>
                </c:pt>
              </c:numCache>
            </c:numRef>
          </c:val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444"/>
        <c:overlap val="-90"/>
        <c:axId val="458929600"/>
        <c:axId val="458929992"/>
      </c:barChart>
      <c:catAx>
        <c:axId val="458929600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100" b="1" i="0" u="none" strike="noStrike" kern="1200" cap="all" spc="120" normalizeH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458929992"/>
        <c:crosses val="autoZero"/>
        <c:auto val="1"/>
        <c:lblAlgn val="ctr"/>
        <c:lblOffset val="100"/>
        <c:noMultiLvlLbl val="0"/>
      </c:catAx>
      <c:valAx>
        <c:axId val="458929992"/>
        <c:scaling>
          <c:orientation val="minMax"/>
        </c:scaling>
        <c:delete val="1"/>
        <c:axPos val="l"/>
        <c:numFmt formatCode="General" sourceLinked="1"/>
        <c:majorTickMark val="none"/>
        <c:minorTickMark val="none"/>
        <c:tickLblPos val="nextTo"/>
        <c:crossAx val="45892960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lt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  <c:userShapes r:id="rId4"/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800" kern="1200" cap="all" spc="120" normalizeH="0" baseline="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50000"/>
        <a:lumOff val="50000"/>
      </a:schemeClr>
    </cs:fontRef>
    <cs:defRPr sz="800" b="0" i="0" u="none" strike="noStrike" kern="1200" baseline="0"/>
    <cs:bodyPr rot="-5400000" spcFirstLastPara="1" vertOverflow="clip" horzOverflow="clip" vert="horz" wrap="square" lIns="38100" tIns="19050" rIns="38100" bIns="19050" anchor="ctr" anchorCtr="1">
      <a:spAutoFit/>
    </cs:bodyPr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22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 w="9525">
        <a:solidFill>
          <a:schemeClr val="phClr"/>
        </a:solidFill>
        <a:round/>
      </a:ln>
    </cs:spPr>
  </cs:dataPointMarker>
  <cs:dataPointMarkerLayout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15000"/>
            <a:lumOff val="8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tx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cap="all" spc="120" normalizeH="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8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</cdr:x>
      <cdr:y>0.84195</cdr:y>
    </cdr:from>
    <cdr:to>
      <cdr:x>1</cdr:x>
      <cdr:y>1</cdr:y>
    </cdr:to>
    <cdr:sp macro="" textlink="">
      <cdr:nvSpPr>
        <cdr:cNvPr id="2" name="Заголовок 2"/>
        <cdr:cNvSpPr>
          <a:spLocks xmlns:a="http://schemas.openxmlformats.org/drawingml/2006/main" noGrp="1"/>
        </cdr:cNvSpPr>
      </cdr:nvSpPr>
      <cdr:spPr>
        <a:xfrm xmlns:a="http://schemas.openxmlformats.org/drawingml/2006/main">
          <a:off x="-585787" y="4780393"/>
          <a:ext cx="10857276" cy="897392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="horz" lIns="91440" tIns="45720" rIns="91440" bIns="45720" rtlCol="0" anchor="b">
          <a:normAutofit fontScale="90000"/>
        </a:bodyPr>
        <a:lstStyle xmlns:a="http://schemas.openxmlformats.org/drawingml/2006/main">
          <a:lvl1pPr algn="ctr" defTabSz="914400" rtl="0" eaLnBrk="1" latinLnBrk="0" hangingPunct="1">
            <a:lnSpc>
              <a:spcPct val="90000"/>
            </a:lnSpc>
            <a:spcBef>
              <a:spcPct val="0"/>
            </a:spcBef>
            <a:buNone/>
            <a:defRPr sz="6000" kern="1200">
              <a:solidFill>
                <a:schemeClr val="tx1"/>
              </a:solidFill>
              <a:latin typeface="+mj-lt"/>
              <a:ea typeface="+mj-ea"/>
              <a:cs typeface="+mj-cs"/>
            </a:defRPr>
          </a:lvl1pPr>
        </a:lstStyle>
        <a:p xmlns:a="http://schemas.openxmlformats.org/drawingml/2006/main">
          <a:endParaRPr lang="ru-RU" sz="2400" dirty="0">
            <a:solidFill>
              <a:srgbClr val="C00000"/>
            </a:solidFill>
          </a:endParaRPr>
        </a:p>
      </cdr:txBody>
    </cdr:sp>
  </cdr:relSizeAnchor>
</c:userShape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1123</Words>
  <Characters>6405</Characters>
  <Application>Microsoft Office Word</Application>
  <DocSecurity>0</DocSecurity>
  <Lines>53</Lines>
  <Paragraphs>15</Paragraphs>
  <ScaleCrop>false</ScaleCrop>
  <Company>HP</Company>
  <LinksUpToDate>false</LinksUpToDate>
  <CharactersWithSpaces>7513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16</cp:revision>
  <dcterms:created xsi:type="dcterms:W3CDTF">2021-10-28T07:03:00Z</dcterms:created>
  <dcterms:modified xsi:type="dcterms:W3CDTF">2021-10-28T08:05:00Z</dcterms:modified>
</cp:coreProperties>
</file>