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6D" w:rsidRDefault="00926F6D">
      <w:pPr>
        <w:spacing w:after="200" w:line="276" w:lineRule="auto"/>
        <w:ind w:right="-426"/>
        <w:rPr>
          <w:rFonts w:ascii="Liberation Serif" w:hAnsi="Liberation Serif" w:cs="Liberation Serif"/>
          <w:b/>
          <w:sz w:val="28"/>
          <w:szCs w:val="28"/>
        </w:rPr>
      </w:pPr>
    </w:p>
    <w:p w:rsidR="0027536F" w:rsidRPr="004C30D7" w:rsidRDefault="0027536F" w:rsidP="0027536F">
      <w:pPr>
        <w:jc w:val="center"/>
        <w:rPr>
          <w:rFonts w:cs="Times New Roman"/>
          <w:sz w:val="28"/>
          <w:szCs w:val="20"/>
          <w:lang w:val="en-US"/>
        </w:rPr>
      </w:pPr>
      <w:r w:rsidRPr="009D2347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3917A4FC" wp14:editId="5B2136DB">
            <wp:extent cx="704850" cy="1137237"/>
            <wp:effectExtent l="0" t="0" r="0" b="6350"/>
            <wp:docPr id="5" name="Рисунок 5" descr="artemo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artemovskii_rayon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106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" cy="11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6F" w:rsidRPr="003B2FC7" w:rsidRDefault="0027536F" w:rsidP="0027536F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 w:cs="Times New Roman"/>
          <w:b/>
          <w:spacing w:val="120"/>
          <w:sz w:val="44"/>
          <w:szCs w:val="20"/>
        </w:rPr>
      </w:pPr>
      <w:r w:rsidRPr="003B2FC7">
        <w:rPr>
          <w:rFonts w:ascii="Liberation Sans" w:hAnsi="Liberation Sans" w:cs="Times New Roman"/>
          <w:b/>
          <w:sz w:val="28"/>
          <w:szCs w:val="20"/>
        </w:rPr>
        <w:t xml:space="preserve">Администрация Артемовского </w:t>
      </w:r>
      <w:r>
        <w:rPr>
          <w:rFonts w:ascii="Liberation Sans" w:hAnsi="Liberation Sans" w:cs="Times New Roman"/>
          <w:b/>
          <w:sz w:val="28"/>
          <w:szCs w:val="20"/>
        </w:rPr>
        <w:t>муниципального</w:t>
      </w:r>
      <w:r w:rsidRPr="003B2FC7">
        <w:rPr>
          <w:rFonts w:ascii="Liberation Sans" w:hAnsi="Liberation Sans" w:cs="Times New Roman"/>
          <w:b/>
          <w:sz w:val="28"/>
          <w:szCs w:val="20"/>
        </w:rPr>
        <w:t xml:space="preserve"> округа</w:t>
      </w:r>
      <w:r w:rsidRPr="003B2FC7">
        <w:rPr>
          <w:rFonts w:ascii="Liberation Sans" w:hAnsi="Liberation Sans" w:cs="Times New Roman"/>
          <w:b/>
          <w:spacing w:val="120"/>
          <w:sz w:val="44"/>
          <w:szCs w:val="20"/>
        </w:rPr>
        <w:t xml:space="preserve"> </w:t>
      </w:r>
    </w:p>
    <w:p w:rsidR="0027536F" w:rsidRPr="00AA2FC2" w:rsidRDefault="0027536F" w:rsidP="0027536F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 w:cs="Liberation Sans"/>
          <w:b/>
          <w:sz w:val="28"/>
          <w:szCs w:val="20"/>
        </w:rPr>
      </w:pPr>
      <w:r w:rsidRPr="00AA2FC2">
        <w:rPr>
          <w:rFonts w:ascii="Liberation Sans" w:hAnsi="Liberation Sans" w:cs="Liberation Sans"/>
          <w:b/>
          <w:spacing w:val="120"/>
          <w:sz w:val="44"/>
          <w:szCs w:val="20"/>
        </w:rPr>
        <w:t>ПОСТАНОВЛЕНИЕ</w:t>
      </w:r>
    </w:p>
    <w:p w:rsidR="0027536F" w:rsidRPr="003B2FC7" w:rsidRDefault="0027536F" w:rsidP="0027536F">
      <w:pPr>
        <w:tabs>
          <w:tab w:val="left" w:pos="6804"/>
        </w:tabs>
        <w:autoSpaceDE w:val="0"/>
        <w:autoSpaceDN w:val="0"/>
        <w:adjustRightInd w:val="0"/>
        <w:rPr>
          <w:rFonts w:ascii="Liberation Serif" w:hAnsi="Liberation Serif" w:cs="Times New Roman"/>
          <w:b/>
          <w:spacing w:val="120"/>
          <w:sz w:val="44"/>
          <w:szCs w:val="20"/>
        </w:rPr>
      </w:pPr>
    </w:p>
    <w:p w:rsidR="00926F6D" w:rsidRDefault="0027536F" w:rsidP="0027536F">
      <w:pPr>
        <w:tabs>
          <w:tab w:val="left" w:pos="6804"/>
        </w:tabs>
        <w:autoSpaceDE w:val="0"/>
        <w:autoSpaceDN w:val="0"/>
        <w:adjustRightInd w:val="0"/>
        <w:rPr>
          <w:rFonts w:ascii="Liberation Serif" w:hAnsi="Liberation Serif" w:cs="Times New Roman"/>
          <w:sz w:val="28"/>
          <w:szCs w:val="28"/>
        </w:rPr>
      </w:pPr>
      <w:r w:rsidRPr="003B2FC7">
        <w:rPr>
          <w:rFonts w:ascii="Liberation Serif" w:hAnsi="Liberation Serif" w:cs="Times New Roman"/>
          <w:sz w:val="28"/>
          <w:szCs w:val="28"/>
        </w:rPr>
        <w:t>от 20.02.2026</w:t>
      </w:r>
      <w:r w:rsidRPr="003B2FC7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</w:t>
      </w:r>
      <w:r w:rsidRPr="003B2FC7">
        <w:rPr>
          <w:rFonts w:ascii="Liberation Serif" w:hAnsi="Liberation Serif" w:cs="Times New Roman"/>
          <w:sz w:val="28"/>
          <w:szCs w:val="28"/>
        </w:rPr>
        <w:t xml:space="preserve">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Pr="003B2FC7">
        <w:rPr>
          <w:rFonts w:ascii="Liberation Serif" w:hAnsi="Liberation Serif" w:cs="Times New Roman"/>
          <w:sz w:val="28"/>
          <w:szCs w:val="28"/>
        </w:rPr>
        <w:t xml:space="preserve">    №</w:t>
      </w:r>
      <w:r>
        <w:rPr>
          <w:rFonts w:ascii="Liberation Serif" w:hAnsi="Liberation Serif" w:cs="Times New Roman"/>
          <w:sz w:val="28"/>
          <w:szCs w:val="28"/>
        </w:rPr>
        <w:t xml:space="preserve"> 209</w:t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3B2FC7">
        <w:rPr>
          <w:rFonts w:ascii="Liberation Serif" w:hAnsi="Liberation Serif" w:cs="Times New Roman"/>
          <w:sz w:val="28"/>
          <w:szCs w:val="28"/>
        </w:rPr>
        <w:t>-ПА</w:t>
      </w:r>
    </w:p>
    <w:p w:rsidR="0027536F" w:rsidRPr="0027536F" w:rsidRDefault="0027536F" w:rsidP="0027536F">
      <w:pPr>
        <w:tabs>
          <w:tab w:val="left" w:pos="6804"/>
        </w:tabs>
        <w:autoSpaceDE w:val="0"/>
        <w:autoSpaceDN w:val="0"/>
        <w:adjustRightInd w:val="0"/>
        <w:rPr>
          <w:rFonts w:ascii="Liberation Serif" w:hAnsi="Liberation Serif" w:cs="Times New Roman"/>
          <w:sz w:val="28"/>
          <w:szCs w:val="28"/>
        </w:rPr>
      </w:pPr>
    </w:p>
    <w:p w:rsidR="00926F6D" w:rsidRDefault="0027536F">
      <w:pPr>
        <w:ind w:right="-426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О мерах по обеспечению отдыха, оздоровления и занятости детей и подростков в 2026 году в Артемовском муниципальном округе</w:t>
      </w:r>
    </w:p>
    <w:p w:rsidR="00926F6D" w:rsidRDefault="00926F6D">
      <w:pPr>
        <w:ind w:right="-426"/>
        <w:jc w:val="both"/>
        <w:rPr>
          <w:rFonts w:ascii="Liberation Serif" w:hAnsi="Liberation Serif" w:cs="Liberation Serif"/>
          <w:sz w:val="28"/>
          <w:szCs w:val="28"/>
        </w:rPr>
      </w:pPr>
    </w:p>
    <w:p w:rsidR="00926F6D" w:rsidRDefault="0027536F">
      <w:pPr>
        <w:pStyle w:val="50"/>
        <w:shd w:val="clear" w:color="auto" w:fill="auto"/>
        <w:spacing w:before="0" w:after="0" w:line="240" w:lineRule="auto"/>
        <w:ind w:firstLine="73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В целях осуществления на территории Артемовского муниципального округа мероприятий по организации отдыха и оздоровления детей, социальной поддержки детей, находящихся в трудной жизненной ситуации, в соответствии со   статьей   16 Федерального закона от 06 </w:t>
      </w:r>
      <w:r>
        <w:rPr>
          <w:rFonts w:ascii="Liberation Serif" w:hAnsi="Liberation Serif" w:cs="Liberation Serif"/>
          <w:b w:val="0"/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Федерации», статьей 179 Бюджетного кодекса Российской Федерации, Законом Свердловской области от      15 июня 2011 года № 38-ОЗ «Об организации и обеспечении от</w:t>
      </w:r>
      <w:r>
        <w:rPr>
          <w:rFonts w:ascii="Liberation Serif" w:hAnsi="Liberation Serif" w:cs="Liberation Serif"/>
          <w:b w:val="0"/>
          <w:sz w:val="28"/>
          <w:szCs w:val="28"/>
        </w:rPr>
        <w:t>дыха и оздоровления детей в Свердловской области», Законом Свердловской области  от 28 мая 2018 года № 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</w:t>
      </w:r>
      <w:r>
        <w:rPr>
          <w:rFonts w:ascii="Liberation Serif" w:hAnsi="Liberation Serif" w:cs="Liberation Serif"/>
          <w:b w:val="0"/>
          <w:sz w:val="28"/>
          <w:szCs w:val="28"/>
        </w:rPr>
        <w:t>ми полномочиями Свердловской области в сфере организации и обеспечения отдыха и оздоровления детей», государственной программой Свердловской области «Развитие системы образования в Свердловской области», утвержденной Постановлением Правительства Свердловск</w:t>
      </w:r>
      <w:r>
        <w:rPr>
          <w:rFonts w:ascii="Liberation Serif" w:hAnsi="Liberation Serif" w:cs="Liberation Serif"/>
          <w:b w:val="0"/>
          <w:sz w:val="28"/>
          <w:szCs w:val="28"/>
        </w:rPr>
        <w:t>ой области от 19.12.2019 № 920-ПП, Постановлением     Правительства      Свердловской   области от 03.08.2017 № 558-ПП «О мерах по организации и обеспечению отдыха и оздоровления детей в Свердловской области», руководствуясь статьями 30, 31 Устава Артемовс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кого муниципального округа Свердловской области, </w:t>
      </w:r>
    </w:p>
    <w:p w:rsidR="00926F6D" w:rsidRDefault="0027536F">
      <w:pPr>
        <w:pStyle w:val="50"/>
        <w:shd w:val="clear" w:color="auto" w:fill="auto"/>
        <w:spacing w:before="0" w:after="0" w:line="240" w:lineRule="auto"/>
        <w:ind w:right="1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ПОСТАНОВЛЯЮ:</w:t>
      </w:r>
    </w:p>
    <w:p w:rsidR="00926F6D" w:rsidRDefault="0027536F">
      <w:pPr>
        <w:ind w:right="-426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Утвердить:</w:t>
      </w:r>
    </w:p>
    <w:p w:rsidR="00926F6D" w:rsidRDefault="0027536F">
      <w:pPr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 положение о Межведомственной оздоровительной комиссии Артемовского муниципального округа (Приложение 1);</w:t>
      </w:r>
    </w:p>
    <w:p w:rsidR="00926F6D" w:rsidRDefault="0027536F">
      <w:pPr>
        <w:tabs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 состав Межведомственной оздоровительной комиссии Артемовского му</w:t>
      </w:r>
      <w:r>
        <w:rPr>
          <w:rFonts w:ascii="Liberation Serif" w:hAnsi="Liberation Serif" w:cs="Liberation Serif"/>
          <w:sz w:val="28"/>
          <w:szCs w:val="28"/>
        </w:rPr>
        <w:t>ниципального округа (Приложение 2);</w:t>
      </w:r>
    </w:p>
    <w:p w:rsidR="00926F6D" w:rsidRDefault="0027536F">
      <w:pPr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 план мероприятий по организации отдыха, оздоровления и </w:t>
      </w:r>
      <w:r>
        <w:rPr>
          <w:rFonts w:ascii="Liberation Serif" w:hAnsi="Liberation Serif" w:cs="Liberation Serif"/>
          <w:sz w:val="28"/>
          <w:szCs w:val="28"/>
        </w:rPr>
        <w:lastRenderedPageBreak/>
        <w:t>занятости детей и подростков в 2026 году в Артемовском муниципальном округе (Приложение 3);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среднюю стоимость путевок в организации отдыха и оздоровления </w:t>
      </w:r>
      <w:r>
        <w:rPr>
          <w:rFonts w:ascii="Liberation Serif" w:hAnsi="Liberation Serif" w:cs="Liberation Serif"/>
          <w:sz w:val="28"/>
          <w:szCs w:val="28"/>
        </w:rPr>
        <w:t>детей в Артемовском муниципальном округе в 2026 году (Приложение 4);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1.5.  размер родительской платы за путевку в оздоровительные организации в Артемовском муниципальном округе в каникулярный период в 2026 году (Приложение 5);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1.6. перечень организаций отд</w:t>
      </w:r>
      <w:r>
        <w:rPr>
          <w:rFonts w:ascii="Liberation Serif" w:hAnsi="Liberation Serif" w:cs="Liberation Serif"/>
          <w:sz w:val="28"/>
          <w:szCs w:val="28"/>
        </w:rPr>
        <w:t>ыха и оздоровления детей на территории Артемовского муниципального округа в 2026 году (Приложение 6).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Межведомственной оздоровительной комиссии Артемовского муниципального округа (Сильченко Н.А.) обеспечить:</w:t>
      </w:r>
    </w:p>
    <w:p w:rsidR="00926F6D" w:rsidRDefault="0027536F">
      <w:pPr>
        <w:tabs>
          <w:tab w:val="left" w:pos="709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 осуществление мероприятий по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отдыха и оздоровления детей с учетом показателей охвата отдыхом и оздоровлением детей; 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взаимодействие с руководителями организаций, осуществляющих деятельность на территории Артемовского муниципального округа,  объединениями работодателей, отраслевы</w:t>
      </w:r>
      <w:r>
        <w:rPr>
          <w:rFonts w:ascii="Liberation Serif" w:hAnsi="Liberation Serif" w:cs="Liberation Serif"/>
          <w:sz w:val="28"/>
          <w:szCs w:val="28"/>
        </w:rPr>
        <w:t>ми профессиональными союзами, организациями, оказывающими услуги по организации отдыха и оздоровления детей в каникулярное время, на территории Артемовского муниципального округа;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2.3. оперативность решения вопросов по организации полноценного питания, без</w:t>
      </w:r>
      <w:r>
        <w:rPr>
          <w:rFonts w:ascii="Liberation Serif" w:hAnsi="Liberation Serif" w:cs="Liberation Serif"/>
          <w:sz w:val="28"/>
          <w:szCs w:val="28"/>
        </w:rPr>
        <w:t>опасности жизни и здоровья детей и подростков,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2.4. организационно-методическую помощь организаторам отдыха, оздоровления и </w:t>
      </w:r>
      <w:r>
        <w:rPr>
          <w:rFonts w:ascii="Liberation Serif" w:hAnsi="Liberation Serif" w:cs="Liberation Serif"/>
          <w:sz w:val="28"/>
          <w:szCs w:val="28"/>
        </w:rPr>
        <w:t>занятости детей и подростков.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Определить Управление образования Артемовского муниципального округа (Сальцев А.А.) уполномоченным органом местного самоуправления в сфере организации и обеспечения отдыха детей и их оздоровления, проживающих и обучающихся </w:t>
      </w:r>
      <w:r>
        <w:rPr>
          <w:rFonts w:ascii="Liberation Serif" w:hAnsi="Liberation Serif" w:cs="Liberation Serif"/>
          <w:sz w:val="28"/>
          <w:szCs w:val="28"/>
        </w:rPr>
        <w:t>на территории Артемовского муниципального округа.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Управлению  образования  Артемовского  муниципального  округа   (Сальцев А.А.) обеспечить: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4.1. расходование субсидий из областного бюджета на организацию отдыха детей в каникулярное время в соответствии</w:t>
      </w:r>
      <w:r>
        <w:rPr>
          <w:rFonts w:ascii="Liberation Serif" w:hAnsi="Liberation Serif" w:cs="Liberation Serif"/>
          <w:sz w:val="28"/>
          <w:szCs w:val="28"/>
        </w:rPr>
        <w:t xml:space="preserve"> с Порядком предоставления субсидий из областного бюджета местным бюджетам на организацию отдыха детей в каникулярное время (Приложение № 5 к государственной программе Свердловской области «Развитие системы образования в Свердловской области»), утвержденны</w:t>
      </w:r>
      <w:r>
        <w:rPr>
          <w:rFonts w:ascii="Liberation Serif" w:hAnsi="Liberation Serif" w:cs="Liberation Serif"/>
          <w:sz w:val="28"/>
          <w:szCs w:val="28"/>
        </w:rPr>
        <w:t>м Постановлением Правительства Свердловской области от 19.12.2019 № 920-ПП «Об у</w:t>
      </w:r>
      <w:r>
        <w:rPr>
          <w:rStyle w:val="docaccesstitle"/>
          <w:rFonts w:ascii="Liberation Serif" w:hAnsi="Liberation Serif" w:cs="Liberation Serif"/>
          <w:sz w:val="28"/>
          <w:szCs w:val="28"/>
        </w:rPr>
        <w:t>тверждении государственной программы Свердловской области «Развитие системы образования в Свердловской области»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4.2. прием заявлений и выдачу путевок в организации отдыха и оз</w:t>
      </w:r>
      <w:r>
        <w:rPr>
          <w:rFonts w:ascii="Liberation Serif" w:hAnsi="Liberation Serif" w:cs="Liberation Serif"/>
          <w:sz w:val="28"/>
          <w:szCs w:val="28"/>
        </w:rPr>
        <w:t xml:space="preserve">доровления детей, предусмотреть возможность приема коллективных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заявок от уполномоченных представителей работодателей или профсоюзных организаций;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4.3. проведение информационной кампании по вопросам организации отдыха и оздоровления детей в каникулярный и </w:t>
      </w:r>
      <w:r>
        <w:rPr>
          <w:rFonts w:ascii="Liberation Serif" w:hAnsi="Liberation Serif" w:cs="Liberation Serif"/>
          <w:sz w:val="28"/>
          <w:szCs w:val="28"/>
        </w:rPr>
        <w:t>учебный периоды, а также заявочной кампании на предоставление путевок в организации отдыха и оздоровления детей с привлечением средств массовой информации;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4.4. расходование субвенций из областного бюджета на осуществление переданных органу местного самоуп</w:t>
      </w:r>
      <w:r>
        <w:rPr>
          <w:rFonts w:ascii="Liberation Serif" w:hAnsi="Liberation Serif" w:cs="Liberation Serif"/>
          <w:sz w:val="28"/>
          <w:szCs w:val="28"/>
        </w:rPr>
        <w:t>равления Артемовского муниципального округа,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</w:t>
      </w:r>
      <w:r>
        <w:rPr>
          <w:rFonts w:ascii="Liberation Serif" w:hAnsi="Liberation Serif" w:cs="Liberation Serif"/>
          <w:sz w:val="28"/>
          <w:szCs w:val="28"/>
        </w:rPr>
        <w:t>енной ситуации) в учебное время, включая мероприятия по обеспечению безопасности их жизни и здоровья, в соответствии с Порядком предоставления и расходования субвенций из областного бюджета местным бюджетам на осуществление переданных органам местного само</w:t>
      </w:r>
      <w:r>
        <w:rPr>
          <w:rFonts w:ascii="Liberation Serif" w:hAnsi="Liberation Serif" w:cs="Liberation Serif"/>
          <w:sz w:val="28"/>
          <w:szCs w:val="28"/>
        </w:rPr>
        <w:t>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</w:t>
      </w:r>
      <w:r>
        <w:rPr>
          <w:rFonts w:ascii="Liberation Serif" w:hAnsi="Liberation Serif" w:cs="Liberation Serif"/>
          <w:sz w:val="28"/>
          <w:szCs w:val="28"/>
        </w:rPr>
        <w:t>одителей, детей, находящихся в трудной жизненной ситуации) в учебное время, включая мероприятия по обеспечению безопасности их жизни и здоровья, утвержденным Постановлением Правительства Свердловской области  от  17.10.2018 № 693-ПП;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4.4.1. организацию отд</w:t>
      </w:r>
      <w:r>
        <w:rPr>
          <w:rFonts w:ascii="Liberation Serif" w:hAnsi="Liberation Serif" w:cs="Liberation Serif"/>
          <w:sz w:val="28"/>
          <w:szCs w:val="28"/>
        </w:rPr>
        <w:t>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4.4.2. бесплатное предо</w:t>
      </w:r>
      <w:r>
        <w:rPr>
          <w:rFonts w:ascii="Liberation Serif" w:hAnsi="Liberation Serif" w:cs="Liberation Serif"/>
          <w:sz w:val="28"/>
          <w:szCs w:val="28"/>
        </w:rPr>
        <w:t>ставление путевок детям и подросткам (за исключением детей-сирот и детей, оставшихся без попечения родителей, детей, находящихся в трудной жизненной ситуации) в организации отдыха и оздоровления детей в учебное время;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4.5. работу подведомственной организац</w:t>
      </w:r>
      <w:r>
        <w:rPr>
          <w:rFonts w:ascii="Liberation Serif" w:hAnsi="Liberation Serif" w:cs="Liberation Serif"/>
          <w:sz w:val="28"/>
          <w:szCs w:val="28"/>
        </w:rPr>
        <w:t>ии отдыха и оздоровления детей и  лагерей дневного пребывания на базе образовательных организаций;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4.6. организацию программно-методического обеспечения отдыха детей и подростков, проведение обучающих семинаров для начальников и воспитателей лагерей дневно</w:t>
      </w:r>
      <w:r>
        <w:rPr>
          <w:rFonts w:ascii="Liberation Serif" w:hAnsi="Liberation Serif" w:cs="Liberation Serif"/>
          <w:sz w:val="28"/>
          <w:szCs w:val="28"/>
        </w:rPr>
        <w:t>го пребывания детей;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4.7. совместно с руководителями муниципальных образовательных организаций оказание содействия в комплектовании организаций отдыха и оздоровления детей квалифицированными педагогическими работниками с учетом ограничений, установленных с</w:t>
      </w:r>
      <w:r>
        <w:rPr>
          <w:rFonts w:ascii="Liberation Serif" w:hAnsi="Liberation Serif" w:cs="Liberation Serif"/>
          <w:sz w:val="28"/>
          <w:szCs w:val="28"/>
        </w:rPr>
        <w:t>татьей 351.1 Трудового кодекса Российской Федерации;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4.8. организацию проведения тематических смен для одаренных детей в период весенних, осенних каникул с привлечением ресурсов Муниципального автономного образовательного учреждения «Центр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 детей «Фаворит», Муниципального автономного образовательного учреждения дополнительного образования «Центр образования и профессиональной ориентации», Муниципального бюджетного учреждения «Загородный оздоровительный комплекс имени Павлика Мороз</w:t>
      </w:r>
      <w:r>
        <w:rPr>
          <w:rFonts w:ascii="Liberation Serif" w:hAnsi="Liberation Serif" w:cs="Liberation Serif"/>
          <w:sz w:val="28"/>
          <w:szCs w:val="28"/>
        </w:rPr>
        <w:t>ова»;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4.9. организацию отдыха и оздоровления детей по проекту Правительства Свердловской области «Поезд здоровья»;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4.10. организацию мониторинга проведения оздоровительной кампании;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4.11. организацию отдыха и оздоровления детей, находящихся в трудной </w:t>
      </w:r>
      <w:r>
        <w:rPr>
          <w:rFonts w:ascii="Liberation Serif" w:hAnsi="Liberation Serif" w:cs="Liberation Serif"/>
          <w:sz w:val="28"/>
          <w:szCs w:val="28"/>
        </w:rPr>
        <w:t>жизненной ситуации, в каникулярное время: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детей-сирот и детей, оставшихся без попечения родителей;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детей-инвалидов;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детей-жертв вооруженных и межнациональных конфликтов, экологических и техногенных катастроф, стихийных бедствий;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детей из семей </w:t>
      </w:r>
      <w:r>
        <w:rPr>
          <w:rFonts w:ascii="Liberation Serif" w:hAnsi="Liberation Serif" w:cs="Liberation Serif"/>
          <w:sz w:val="28"/>
          <w:szCs w:val="28"/>
        </w:rPr>
        <w:t>беженцев и вынужденных переселенцев;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детей, проживающих в малоимущих семьях;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детей, оказавшихся в экстремальных условиях, детей-жертв насилия, детей с отклонениями в поведении, детей, жизнедеятельность которых объективно нарушена в результате сложивших</w:t>
      </w:r>
      <w:r>
        <w:rPr>
          <w:rFonts w:ascii="Liberation Serif" w:hAnsi="Liberation Serif" w:cs="Liberation Serif"/>
          <w:sz w:val="28"/>
          <w:szCs w:val="28"/>
        </w:rPr>
        <w:t>ся обстоятельств и которые не могут преодолеть данные обстоятельства самостоятельно или с помощью семьи;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детей,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прибывших с территории Украины, Луганской Народной Республики, Донецкой Народной Республики, и получивших убежище на территории Российской Фед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ерации;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детей </w:t>
      </w:r>
      <w:r>
        <w:rPr>
          <w:rFonts w:ascii="Liberation Serif" w:hAnsi="Liberation Serif" w:cs="Liberation Serif"/>
          <w:sz w:val="28"/>
          <w:szCs w:val="28"/>
        </w:rPr>
        <w:t>граждан Российской Федерации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призванных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</w:t>
      </w:r>
      <w:r>
        <w:rPr>
          <w:rFonts w:ascii="Liberation Serif" w:hAnsi="Liberation Serif" w:cs="Liberation Serif"/>
          <w:sz w:val="28"/>
          <w:szCs w:val="28"/>
        </w:rPr>
        <w:t>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</w:t>
      </w:r>
      <w:r>
        <w:rPr>
          <w:rFonts w:ascii="Liberation Serif" w:hAnsi="Liberation Serif" w:cs="Liberation Serif"/>
          <w:sz w:val="28"/>
          <w:szCs w:val="28"/>
        </w:rPr>
        <w:t>ой области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4.12. первоочередное, бесплатное предоставление путевок в оздоровительные организации детям граждан,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прибывших с территории Украины, Луганской Народной Республики, Донецкой Народной Республики, и получивших убежище на территории Российской Феде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рации, детям </w:t>
      </w:r>
      <w:r>
        <w:rPr>
          <w:rFonts w:ascii="Liberation Serif" w:hAnsi="Liberation Serif" w:cs="Liberation Serif"/>
          <w:sz w:val="28"/>
          <w:szCs w:val="28"/>
        </w:rPr>
        <w:t>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</w:t>
      </w:r>
    </w:p>
    <w:p w:rsidR="00926F6D" w:rsidRDefault="00926F6D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926F6D" w:rsidRDefault="0027536F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«Об объявлении частичной мобилизации в Ро</w:t>
      </w:r>
      <w:r>
        <w:rPr>
          <w:rFonts w:ascii="Liberation Serif" w:hAnsi="Liberation Serif" w:cs="Liberation Serif"/>
          <w:sz w:val="28"/>
          <w:szCs w:val="28"/>
        </w:rPr>
        <w:t xml:space="preserve">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</w:t>
      </w:r>
      <w:r>
        <w:rPr>
          <w:rFonts w:ascii="Liberation Serif" w:hAnsi="Liberation Serif" w:cs="Liberation Serif"/>
          <w:sz w:val="28"/>
          <w:szCs w:val="28"/>
        </w:rPr>
        <w:lastRenderedPageBreak/>
        <w:t>Донецкой Народной Республики, Луганской Народной Республики, Запорожской области и Херсонской</w:t>
      </w:r>
      <w:r>
        <w:rPr>
          <w:rFonts w:ascii="Liberation Serif" w:hAnsi="Liberation Serif" w:cs="Liberation Serif"/>
          <w:sz w:val="28"/>
          <w:szCs w:val="28"/>
        </w:rPr>
        <w:t xml:space="preserve"> области;</w:t>
      </w:r>
    </w:p>
    <w:p w:rsidR="00926F6D" w:rsidRDefault="0027536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4.13. выполнение  квоты в муниципальных организациях отдыха детей и их оздоровления сезонного 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</w:t>
      </w:r>
      <w:r>
        <w:rPr>
          <w:rFonts w:ascii="Liberation Serif" w:hAnsi="Liberation Serif" w:cs="Liberation Serif"/>
          <w:sz w:val="28"/>
          <w:szCs w:val="28"/>
        </w:rPr>
        <w:t>кулярное время (с круглосуточным и дневным пребыванием), - в размере 2 % от фактической заполняемости за предшествующий календарный год, в соответствии с Постановлением   Правительства        Свердловской   области от 24.12.2025 № 745-ПП «Об установлении к</w:t>
      </w:r>
      <w:r>
        <w:rPr>
          <w:rFonts w:ascii="Liberation Serif" w:hAnsi="Liberation Serif" w:cs="Liberation Serif"/>
          <w:sz w:val="28"/>
          <w:szCs w:val="28"/>
        </w:rPr>
        <w:t>воты в государственных и муниципальных организациях отдыха 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</w:t>
      </w:r>
      <w:r>
        <w:rPr>
          <w:rFonts w:ascii="Liberation Serif" w:hAnsi="Liberation Serif" w:cs="Liberation Serif"/>
          <w:sz w:val="28"/>
          <w:szCs w:val="28"/>
        </w:rPr>
        <w:t>ающих на территории Свердловской области, в 2026 году»;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4.14. представление информации об итогах детской оздоровительной кампании и о финансировании детской оздоровительной кампании в Министерство образования Свердловской  области    по    прилагаемым     </w:t>
      </w:r>
      <w:r>
        <w:rPr>
          <w:rFonts w:ascii="Liberation Serif" w:hAnsi="Liberation Serif" w:cs="Liberation Serif"/>
          <w:sz w:val="28"/>
          <w:szCs w:val="28"/>
        </w:rPr>
        <w:t>формам     (Приложения 7, 8).   Срок – 01 декабря 2026 года.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 xml:space="preserve">5. Управлению </w:t>
      </w:r>
      <w:r>
        <w:rPr>
          <w:rFonts w:ascii="Liberation Serif" w:hAnsi="Liberation Serif" w:cs="Liberation Serif"/>
          <w:sz w:val="28"/>
          <w:szCs w:val="28"/>
        </w:rPr>
        <w:t>культуры Администрации Артемовского муниципального округа (</w:t>
      </w:r>
      <w:r>
        <w:rPr>
          <w:rStyle w:val="a3"/>
          <w:rFonts w:ascii="Liberation Serif" w:hAnsi="Liberation Serif" w:cs="Liberation Serif"/>
          <w:b w:val="0"/>
          <w:spacing w:val="-4"/>
          <w:sz w:val="28"/>
          <w:szCs w:val="28"/>
        </w:rPr>
        <w:t xml:space="preserve">Сахарова Е.Б.) </w:t>
      </w:r>
      <w:r>
        <w:rPr>
          <w:rFonts w:ascii="Liberation Serif" w:hAnsi="Liberation Serif" w:cs="Liberation Serif"/>
          <w:sz w:val="28"/>
          <w:szCs w:val="28"/>
        </w:rPr>
        <w:t>организовать проведение выездных музейных и библиотечных выставок, работу передвижных библиотек на базе орг</w:t>
      </w:r>
      <w:r>
        <w:rPr>
          <w:rFonts w:ascii="Liberation Serif" w:hAnsi="Liberation Serif" w:cs="Liberation Serif"/>
          <w:sz w:val="28"/>
          <w:szCs w:val="28"/>
        </w:rPr>
        <w:t>анизаций отдыха и оздоровления детей.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6. Отделу по</w:t>
      </w:r>
      <w:r>
        <w:rPr>
          <w:rFonts w:ascii="Liberation Serif" w:hAnsi="Liberation Serif" w:cs="Liberation Serif"/>
          <w:sz w:val="28"/>
          <w:szCs w:val="28"/>
        </w:rPr>
        <w:t xml:space="preserve"> физической культуре и спорту Администрации Артемовского муниципального округа (Чехомов Ю.В.) </w:t>
      </w:r>
      <w:r>
        <w:rPr>
          <w:rFonts w:ascii="Liberation Serif" w:hAnsi="Liberation Serif" w:cs="Liberation Serif"/>
          <w:spacing w:val="-4"/>
          <w:sz w:val="28"/>
          <w:szCs w:val="28"/>
        </w:rPr>
        <w:t>организовать проведение спортивных мероприятий в организациях отдыха и оздоровления детей в Артемовском муниципа</w:t>
      </w:r>
      <w:r>
        <w:rPr>
          <w:rFonts w:ascii="Liberation Serif" w:hAnsi="Liberation Serif" w:cs="Liberation Serif"/>
          <w:spacing w:val="-4"/>
          <w:sz w:val="28"/>
          <w:szCs w:val="28"/>
        </w:rPr>
        <w:t>льном округе.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7. Отделу по работе с детьми и молодежью Администрации Артемовского муниципального округа (Автайкина И.Л.) организовать: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7.1. временное трудоустройство несовершеннолетних в возрасте от 14 до 18 лет в свободное от учебы время, создание трудовы</w:t>
      </w:r>
      <w:r>
        <w:rPr>
          <w:rFonts w:ascii="Liberation Serif" w:hAnsi="Liberation Serif" w:cs="Liberation Serif"/>
          <w:sz w:val="28"/>
          <w:szCs w:val="28"/>
        </w:rPr>
        <w:t xml:space="preserve">х отрядов несовершеннолетних; 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 проведение военно-патриотических сборов допризывной молодежи.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Муниципальному бюджетному учреждению Артемовского муниципального округа  «Загородный  оздоровительный  комплекс    имени Павлика Морозова» (Лакия Т.А.):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</w:rPr>
        <w:t>1. организовать в осенне - зимний период 2026 года тематические смены продолжительностью 10 дней;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8.2. обеспечить проведение смен для семейного отдыха. 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Постановление опубликовать в газете  «Артемовский рабочий»,</w:t>
      </w:r>
    </w:p>
    <w:p w:rsidR="00926F6D" w:rsidRDefault="00926F6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6F6D" w:rsidRDefault="0027536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разместить на Официальном портале право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вой информации Артемовского городского округа </w:t>
      </w: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(</w:t>
      </w:r>
      <w:hyperlink r:id="rId9" w:tgtFrame="_blank">
        <w:r>
          <w:rPr>
            <w:rStyle w:val="a9"/>
            <w:rFonts w:ascii="Liberation Serif" w:hAnsi="Liberation Serif" w:cs="Liberation Serif"/>
            <w:color w:val="005BD1"/>
            <w:sz w:val="28"/>
            <w:szCs w:val="28"/>
            <w:shd w:val="clear" w:color="auto" w:fill="FFFFFF"/>
          </w:rPr>
          <w:t>http://www.артемовский-право.рф</w:t>
        </w:r>
      </w:hyperlink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),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официальном сайте Артемовского муниципального округа в информационно-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телекоммуникационной сети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«Интернет».</w:t>
      </w:r>
    </w:p>
    <w:p w:rsidR="00926F6D" w:rsidRDefault="002753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 Контроль за исполнением постановления возложить на заместителя главы Артемовского муниципального округа Сильченко Н.А.</w:t>
      </w:r>
    </w:p>
    <w:p w:rsidR="00926F6D" w:rsidRDefault="00926F6D">
      <w:pPr>
        <w:shd w:val="clear" w:color="auto" w:fill="FFFFFF"/>
        <w:ind w:firstLine="709"/>
        <w:rPr>
          <w:rFonts w:ascii="Liberation Serif" w:hAnsi="Liberation Serif" w:cs="Liberation Serif"/>
          <w:sz w:val="28"/>
          <w:szCs w:val="28"/>
        </w:rPr>
      </w:pPr>
    </w:p>
    <w:p w:rsidR="00926F6D" w:rsidRDefault="0027536F">
      <w:pPr>
        <w:shd w:val="clear" w:color="auto" w:fill="FFFFFF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</w:t>
      </w:r>
    </w:p>
    <w:p w:rsidR="00926F6D" w:rsidRDefault="0027536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Первый заместитель главы </w:t>
      </w:r>
    </w:p>
    <w:p w:rsidR="00926F6D" w:rsidRDefault="0027536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Артемовского муниципального округа,</w:t>
      </w:r>
    </w:p>
    <w:p w:rsidR="00926F6D" w:rsidRDefault="0027536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исполняющий полномочия главы</w:t>
      </w:r>
    </w:p>
    <w:p w:rsidR="00926F6D" w:rsidRDefault="0027536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Артемовского муниципального округа                                          Н.А.Черемных</w:t>
      </w:r>
    </w:p>
    <w:p w:rsidR="00926F6D" w:rsidRDefault="00926F6D">
      <w:pPr>
        <w:spacing w:after="1"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sectPr w:rsidR="00926F6D">
      <w:headerReference w:type="even" r:id="rId10"/>
      <w:headerReference w:type="default" r:id="rId11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536F">
      <w:r>
        <w:separator/>
      </w:r>
    </w:p>
  </w:endnote>
  <w:endnote w:type="continuationSeparator" w:id="0">
    <w:p w:rsidR="00000000" w:rsidRDefault="0027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536F">
      <w:r>
        <w:separator/>
      </w:r>
    </w:p>
  </w:footnote>
  <w:footnote w:type="continuationSeparator" w:id="0">
    <w:p w:rsidR="00000000" w:rsidRDefault="00275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6D" w:rsidRDefault="0027536F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6F6D" w:rsidRDefault="0027536F">
                          <w:pPr>
                            <w:pStyle w:val="a5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26F6D" w:rsidRDefault="0027536F">
                    <w:pPr>
                      <w:pStyle w:val="a5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>
                      <w:rPr>
                        <w:rStyle w:val="a6"/>
                        <w:color w:val="000000"/>
                      </w:rPr>
                      <w:t>0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6D" w:rsidRDefault="0027536F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926F6D" w:rsidRDefault="00926F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query w:val="SELECT * FROM Адреса1.dbo.Лист1$"/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6D"/>
    <w:rsid w:val="0027536F"/>
    <w:rsid w:val="0092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807AE-4C99-48BC-ABF9-9CC54A37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C21"/>
    <w:pPr>
      <w:widowControl w:val="0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377BD5"/>
    <w:pPr>
      <w:widowControl/>
      <w:spacing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B6C21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B6C21"/>
    <w:rPr>
      <w:rFonts w:ascii="Arial" w:eastAsia="Times New Roman" w:hAnsi="Arial" w:cs="Arial"/>
      <w:sz w:val="26"/>
      <w:szCs w:val="26"/>
      <w:lang w:eastAsia="ru-RU"/>
    </w:rPr>
  </w:style>
  <w:style w:type="character" w:styleId="a6">
    <w:name w:val="page number"/>
    <w:uiPriority w:val="99"/>
    <w:qFormat/>
    <w:rsid w:val="00FB6C21"/>
    <w:rPr>
      <w:rFonts w:cs="Times New Roman"/>
    </w:rPr>
  </w:style>
  <w:style w:type="character" w:customStyle="1" w:styleId="docaccesstitle">
    <w:name w:val="docaccess_title"/>
    <w:basedOn w:val="a0"/>
    <w:qFormat/>
    <w:rsid w:val="00FB6C21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FB6C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377BD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D3B9C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qFormat/>
    <w:rsid w:val="00D0168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No Spacing"/>
    <w:uiPriority w:val="99"/>
    <w:qFormat/>
    <w:rsid w:val="00FB6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FB6C2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B6C21"/>
    <w:rPr>
      <w:rFonts w:ascii="Tahoma" w:hAnsi="Tahoma" w:cs="Tahoma"/>
      <w:sz w:val="16"/>
      <w:szCs w:val="16"/>
    </w:rPr>
  </w:style>
  <w:style w:type="paragraph" w:customStyle="1" w:styleId="50">
    <w:name w:val="Основной текст (5)"/>
    <w:basedOn w:val="a"/>
    <w:link w:val="5"/>
    <w:qFormat/>
    <w:rsid w:val="00D0168E"/>
    <w:pPr>
      <w:shd w:val="clear" w:color="auto" w:fill="FFFFFF"/>
      <w:spacing w:before="600" w:after="420" w:line="278" w:lineRule="exact"/>
      <w:jc w:val="both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xn----7sbbgcowihswhkfjkm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960B-6FBF-4AD6-BF84-5419C285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1901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dc:description/>
  <cp:lastModifiedBy>Татьяна Николаевна Нохрина</cp:lastModifiedBy>
  <cp:revision>13</cp:revision>
  <cp:lastPrinted>2026-02-18T14:38:00Z</cp:lastPrinted>
  <dcterms:created xsi:type="dcterms:W3CDTF">2025-01-22T12:20:00Z</dcterms:created>
  <dcterms:modified xsi:type="dcterms:W3CDTF">2026-02-20T09:06:00Z</dcterms:modified>
  <dc:language>ru-RU</dc:language>
</cp:coreProperties>
</file>